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jc w:val="center"/>
        <w:rPr>
          <w:rFonts w:eastAsia="方正小标宋简体" w:cs="方正小标宋简体"/>
          <w:sz w:val="44"/>
          <w:szCs w:val="44"/>
        </w:rPr>
      </w:pPr>
      <w:r>
        <w:rPr>
          <w:rFonts w:hint="eastAsia" w:eastAsia="方正小标宋简体" w:cs="方正小标宋简体"/>
          <w:sz w:val="44"/>
          <w:szCs w:val="44"/>
        </w:rPr>
        <w:t>莆田市涵江区市场监督管理局</w:t>
      </w:r>
    </w:p>
    <w:p>
      <w:pPr>
        <w:keepNext w:val="0"/>
        <w:keepLines w:val="0"/>
        <w:pageBreakBefore w:val="0"/>
        <w:widowControl w:val="0"/>
        <w:kinsoku/>
        <w:overflowPunct/>
        <w:topLinePunct w:val="0"/>
        <w:autoSpaceDE/>
        <w:autoSpaceDN/>
        <w:bidi w:val="0"/>
        <w:spacing w:line="560" w:lineRule="exact"/>
        <w:jc w:val="center"/>
        <w:rPr>
          <w:rFonts w:hint="eastAsia"/>
        </w:rPr>
      </w:pPr>
      <w:r>
        <w:rPr>
          <w:rFonts w:hint="eastAsia" w:eastAsia="方正小标宋简体" w:cs="方正小标宋简体"/>
          <w:sz w:val="44"/>
          <w:szCs w:val="44"/>
        </w:rPr>
        <w:t>行政处罚决定书</w:t>
      </w:r>
    </w:p>
    <w:p>
      <w:pPr>
        <w:keepNext w:val="0"/>
        <w:keepLines w:val="0"/>
        <w:pageBreakBefore w:val="0"/>
        <w:widowControl w:val="0"/>
        <w:kinsoku/>
        <w:wordWrap w:val="0"/>
        <w:overflowPunct/>
        <w:topLinePunct w:val="0"/>
        <w:autoSpaceDE/>
        <w:autoSpaceDN/>
        <w:bidi w:val="0"/>
        <w:adjustRightInd/>
        <w:snapToGrid w:val="0"/>
        <w:spacing w:after="289" w:afterLines="50" w:line="560" w:lineRule="exact"/>
        <w:ind w:firstLine="2240" w:firstLineChars="700"/>
        <w:jc w:val="both"/>
        <w:textAlignment w:val="auto"/>
        <w:outlineLvl w:val="9"/>
        <w:rPr>
          <w:rFonts w:hint="eastAsia" w:eastAsia="仿宋_GB2312" w:cs="仿宋_GB2312"/>
          <w:sz w:val="32"/>
          <w:szCs w:val="32"/>
          <w:highlight w:val="none"/>
        </w:rPr>
      </w:pPr>
      <w:bookmarkStart w:id="1" w:name="_GoBack"/>
      <w:r>
        <w:rPr>
          <w:rFonts w:hint="eastAsia" w:eastAsia="仿宋_GB2312" w:cs="仿宋_GB2312"/>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3" name="自选图形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2pt;margin-top:1638pt;height:0.1pt;width:453.7pt;z-index:251661312;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Xiia2gAAAAsBAAAP&#10;AAAAAAAAAAEAIAAAACIAAABkcnMvZG93bnJldi54bWxQSwECFAAUAAAACACHTuJAbkbPcd0BAACX&#10;AwAADgAAAAAAAAABACAAAAApAQAAZHJzL2Uyb0RvYy54bWxQSwUGAAAAAAYABgBZAQAAeAUAAAAA&#10;">
                <v:fill on="f" focussize="0,0"/>
                <v:stroke weight="1.5pt" color="#000000" joinstyle="round" endcap="square"/>
                <v:imagedata o:title=""/>
                <o:lock v:ext="edit" aspectratio="f"/>
              </v:shape>
            </w:pict>
          </mc:Fallback>
        </mc:AlternateContent>
      </w:r>
      <w:r>
        <w:rPr>
          <w:rFonts w:hint="eastAsia" w:eastAsia="仿宋_GB2312" w:cs="仿宋_GB2312"/>
          <w:sz w:val="32"/>
          <w:szCs w:val="32"/>
          <w:highlight w:val="none"/>
          <w:lang w:eastAsia="zh-CN"/>
        </w:rPr>
        <w:t>涵</w:t>
      </w:r>
      <w:r>
        <w:rPr>
          <w:rFonts w:hint="eastAsia" w:eastAsia="仿宋_GB2312" w:cs="仿宋_GB2312"/>
          <w:sz w:val="32"/>
          <w:szCs w:val="32"/>
          <w:highlight w:val="none"/>
        </w:rPr>
        <w:t>市监处</w:t>
      </w:r>
      <w:r>
        <w:rPr>
          <w:rFonts w:hint="eastAsia" w:eastAsia="仿宋_GB2312" w:cs="仿宋_GB2312"/>
          <w:sz w:val="32"/>
          <w:szCs w:val="32"/>
          <w:highlight w:val="none"/>
          <w:lang w:eastAsia="zh-CN"/>
        </w:rPr>
        <w:t>罚</w:t>
      </w:r>
      <w:r>
        <w:rPr>
          <w:rFonts w:hint="eastAsia" w:ascii="仿宋_GB2312" w:hAnsi="仿宋_GB2312" w:eastAsia="仿宋_GB2312" w:cs="Times New Roman"/>
          <w:spacing w:val="-3"/>
          <w:sz w:val="32"/>
          <w:szCs w:val="32"/>
        </w:rPr>
        <w:t>〔202</w:t>
      </w:r>
      <w:r>
        <w:rPr>
          <w:rFonts w:hint="eastAsia" w:ascii="仿宋_GB2312" w:hAnsi="仿宋_GB2312" w:eastAsia="仿宋_GB2312" w:cs="Times New Roman"/>
          <w:spacing w:val="-3"/>
          <w:sz w:val="32"/>
          <w:szCs w:val="32"/>
          <w:lang w:val="en-US" w:eastAsia="zh-CN"/>
        </w:rPr>
        <w:t>5</w:t>
      </w:r>
      <w:r>
        <w:rPr>
          <w:rFonts w:hint="eastAsia" w:ascii="仿宋_GB2312" w:hAnsi="仿宋_GB2312" w:eastAsia="仿宋_GB2312" w:cs="Times New Roman"/>
          <w:spacing w:val="-3"/>
          <w:sz w:val="32"/>
          <w:szCs w:val="32"/>
        </w:rPr>
        <w:t>〕</w:t>
      </w:r>
      <w:r>
        <w:rPr>
          <w:rFonts w:hint="eastAsia" w:ascii="仿宋_GB2312" w:hAnsi="仿宋_GB2312" w:eastAsia="仿宋_GB2312"/>
          <w:spacing w:val="-3"/>
          <w:sz w:val="32"/>
          <w:szCs w:val="32"/>
          <w:lang w:val="en-US" w:eastAsia="zh-CN"/>
        </w:rPr>
        <w:t>0811</w:t>
      </w:r>
      <w:r>
        <w:rPr>
          <w:rFonts w:hint="eastAsia" w:ascii="仿宋_GB2312" w:hAnsi="仿宋_GB2312" w:eastAsia="仿宋_GB2312"/>
          <w:spacing w:val="-3"/>
          <w:sz w:val="32"/>
          <w:szCs w:val="32"/>
        </w:rPr>
        <w:t>000</w:t>
      </w:r>
      <w:r>
        <w:rPr>
          <w:rFonts w:hint="eastAsia" w:ascii="仿宋_GB2312" w:hAnsi="仿宋_GB2312" w:eastAsia="仿宋_GB2312"/>
          <w:spacing w:val="-3"/>
          <w:sz w:val="32"/>
          <w:szCs w:val="32"/>
          <w:lang w:val="en-US" w:eastAsia="zh-CN"/>
        </w:rPr>
        <w:t>1</w:t>
      </w:r>
      <w:r>
        <w:rPr>
          <w:rFonts w:hint="eastAsia" w:ascii="仿宋_GB2312" w:hAnsi="仿宋_GB2312" w:eastAsia="仿宋_GB2312" w:cs="Times New Roman"/>
          <w:spacing w:val="-3"/>
          <w:sz w:val="32"/>
          <w:szCs w:val="32"/>
          <w:lang w:eastAsia="zh-CN"/>
        </w:rPr>
        <w:t>号</w:t>
      </w:r>
    </w:p>
    <w:bookmarkEnd w:id="1"/>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sz w:val="32"/>
          <w:szCs w:val="32"/>
          <w:highlight w:val="none"/>
          <w:lang w:val="en-US" w:eastAsia="zh-CN"/>
        </w:rPr>
      </w:pPr>
      <w:r>
        <w:rPr>
          <w:rFonts w:hint="eastAsia" w:ascii="仿宋_GB2312" w:hAnsi="仿宋_GB2312" w:eastAsia="仿宋_GB2312"/>
          <w:spacing w:val="-3"/>
          <w:sz w:val="32"/>
          <w:szCs w:val="32"/>
          <w:highlight w:val="none"/>
        </w:rPr>
        <w:t>当事人：</w:t>
      </w:r>
      <w:r>
        <w:rPr>
          <w:rFonts w:hint="eastAsia" w:ascii="仿宋_GB2312" w:hAnsi="仿宋_GB2312" w:eastAsia="仿宋_GB2312"/>
          <w:sz w:val="32"/>
          <w:szCs w:val="32"/>
          <w:highlight w:val="none"/>
          <w:lang w:val="en-US" w:eastAsia="zh-CN"/>
        </w:rPr>
        <w:t>刘海乾</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sz w:val="32"/>
          <w:szCs w:val="32"/>
          <w:highlight w:val="none"/>
          <w:lang w:val="en-US" w:eastAsia="zh-CN"/>
        </w:rPr>
      </w:pPr>
      <w:r>
        <w:rPr>
          <w:rFonts w:hint="eastAsia" w:ascii="仿宋_GB2312" w:hAnsi="仿宋_GB2312" w:eastAsia="仿宋_GB2312"/>
          <w:spacing w:val="-3"/>
          <w:sz w:val="32"/>
          <w:szCs w:val="32"/>
          <w:highlight w:val="none"/>
        </w:rPr>
        <w:t>公民身份号码：</w:t>
      </w:r>
      <w:r>
        <w:rPr>
          <w:rFonts w:hint="eastAsia" w:ascii="仿宋_GB2312" w:hAnsi="仿宋_GB2312"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sz w:val="32"/>
          <w:szCs w:val="32"/>
          <w:highlight w:val="none"/>
          <w:lang w:val="en-US" w:eastAsia="zh-CN"/>
        </w:rPr>
      </w:pPr>
      <w:r>
        <w:rPr>
          <w:rFonts w:hint="eastAsia" w:ascii="仿宋_GB2312" w:hAnsi="仿宋_GB2312" w:eastAsia="仿宋_GB2312"/>
          <w:spacing w:val="-3"/>
          <w:sz w:val="32"/>
          <w:szCs w:val="32"/>
          <w:highlight w:val="none"/>
        </w:rPr>
        <w:t>联系电话：</w:t>
      </w:r>
      <w:r>
        <w:rPr>
          <w:rFonts w:hint="eastAsia" w:ascii="仿宋_GB2312" w:hAnsi="仿宋_GB2312"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仿宋_GB2312" w:hAnsi="仿宋_GB2312" w:eastAsia="仿宋_GB2312"/>
          <w:sz w:val="32"/>
          <w:szCs w:val="32"/>
          <w:highlight w:val="none"/>
        </w:rPr>
      </w:pPr>
      <w:r>
        <w:rPr>
          <w:rFonts w:hint="eastAsia" w:ascii="仿宋_GB2312" w:hAnsi="仿宋_GB2312" w:eastAsia="仿宋_GB2312"/>
          <w:spacing w:val="-3"/>
          <w:sz w:val="32"/>
          <w:szCs w:val="32"/>
          <w:highlight w:val="none"/>
        </w:rPr>
        <w:t>联系地址：</w:t>
      </w:r>
      <w:r>
        <w:rPr>
          <w:rFonts w:hint="eastAsia" w:ascii="仿宋_GB2312" w:hAnsi="仿宋_GB2312" w:eastAsia="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2025年7月28日，本局收到福建中检华日食品安全检测有限公司的不合格报告（NO：XBJ25350303370800015），根据该报告得知，莆田市涵江区市场监督管理局委托福建中检华日食品安全检测有限公司对莆田市涵江区刘海乾水果店经营的冰糖橙进行抽样检验，检验结论：经抽样检验，冰糖橙联苯菊酯项目不符合GB 2763-2021《食品安全国家标准 食品中农药最大残留限量》要求，检验结论为不合格；2025年7月29日本局依法前往现场核查，发现当事人已不在该地址经营，且通过系统查询发现莆田市涵江区刘海乾水果店已</w:t>
      </w:r>
      <w:r>
        <w:rPr>
          <w:rFonts w:hint="eastAsia" w:ascii="仿宋_GB2312" w:hAnsi="仿宋_GB2312" w:eastAsia="仿宋_GB2312"/>
          <w:sz w:val="32"/>
          <w:szCs w:val="32"/>
          <w:highlight w:val="none"/>
          <w:lang w:eastAsia="zh-CN"/>
        </w:rPr>
        <w:t>于</w:t>
      </w:r>
      <w:r>
        <w:rPr>
          <w:rFonts w:hint="eastAsia" w:ascii="仿宋_GB2312" w:hAnsi="仿宋_GB2312" w:eastAsia="仿宋_GB2312"/>
          <w:sz w:val="32"/>
          <w:szCs w:val="32"/>
          <w:highlight w:val="none"/>
          <w:lang w:val="en-US" w:eastAsia="zh-CN"/>
        </w:rPr>
        <w:t>2025年7月11日办理注销登记。经联系经营者刘海乾，本局通过邮寄方式于2025年8月7日送达检测报告、国家食品安全抽样检验结果通知书（XBJ25350303370800015）各1份，并告知其享有申请复检的权利跟期限。当事人的行为涉嫌违反《中华人民共和国食品安全法》第三十四条第一款第二项的规定</w:t>
      </w:r>
      <w:r>
        <w:rPr>
          <w:rFonts w:hint="eastAsia" w:ascii="Times New Roman" w:hAnsi="Times New Roman" w:eastAsia="仿宋_GB2312" w:cs="仿宋_GB2312"/>
          <w:b w:val="0"/>
          <w:bCs/>
          <w:sz w:val="32"/>
          <w:szCs w:val="32"/>
          <w:highlight w:val="none"/>
        </w:rPr>
        <w:t>。经局领导审批，本局立案调查。</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default" w:ascii="仿宋_GB2312" w:hAnsi="仿宋_GB2312" w:eastAsia="仿宋_GB2312"/>
          <w:color w:val="FF0000"/>
          <w:spacing w:val="-3"/>
          <w:sz w:val="32"/>
          <w:szCs w:val="32"/>
          <w:highlight w:val="none"/>
          <w:lang w:val="en-US" w:eastAsia="zh-CN"/>
        </w:rPr>
      </w:pPr>
      <w:r>
        <w:rPr>
          <w:rFonts w:hint="eastAsia" w:ascii="仿宋_GB2312" w:hAnsi="仿宋_GB2312" w:eastAsia="仿宋_GB2312"/>
          <w:spacing w:val="-3"/>
          <w:sz w:val="32"/>
          <w:szCs w:val="32"/>
          <w:highlight w:val="none"/>
        </w:rPr>
        <w:t>经查明，</w:t>
      </w:r>
      <w:r>
        <w:rPr>
          <w:rFonts w:hint="eastAsia" w:ascii="仿宋_GB2312" w:hAnsi="仿宋_GB2312" w:eastAsia="仿宋_GB2312"/>
          <w:spacing w:val="-3"/>
          <w:sz w:val="32"/>
          <w:szCs w:val="32"/>
          <w:highlight w:val="none"/>
          <w:lang w:val="en-US" w:eastAsia="zh-CN"/>
        </w:rPr>
        <w:t>2025年7月3日，莆田市涵江区市场监督管理局委托</w:t>
      </w:r>
      <w:r>
        <w:rPr>
          <w:rFonts w:hint="eastAsia" w:ascii="仿宋_GB2312" w:hAnsi="仿宋_GB2312" w:eastAsia="仿宋_GB2312"/>
          <w:sz w:val="32"/>
          <w:szCs w:val="32"/>
          <w:highlight w:val="none"/>
          <w:lang w:val="en-US" w:eastAsia="zh-CN"/>
        </w:rPr>
        <w:t>福建中检华日食品安全检测有限公司</w:t>
      </w:r>
      <w:r>
        <w:rPr>
          <w:rFonts w:hint="eastAsia" w:ascii="仿宋_GB2312" w:hAnsi="仿宋_GB2312" w:eastAsia="仿宋_GB2312"/>
          <w:spacing w:val="-3"/>
          <w:sz w:val="32"/>
          <w:szCs w:val="32"/>
          <w:highlight w:val="none"/>
          <w:lang w:val="en-US" w:eastAsia="zh-CN"/>
        </w:rPr>
        <w:t>对</w:t>
      </w:r>
      <w:r>
        <w:rPr>
          <w:rFonts w:hint="eastAsia" w:ascii="仿宋_GB2312" w:eastAsia="仿宋_GB2312"/>
          <w:color w:val="000000" w:themeColor="text1"/>
          <w:sz w:val="32"/>
          <w:szCs w:val="32"/>
          <w:highlight w:val="none"/>
          <w:u w:val="none"/>
          <w:lang w:eastAsia="zh-CN"/>
          <w14:textFill>
            <w14:solidFill>
              <w14:schemeClr w14:val="tx1"/>
            </w14:solidFill>
          </w14:textFill>
        </w:rPr>
        <w:t>莆田市涵江区刘海乾水果店</w:t>
      </w:r>
      <w:r>
        <w:rPr>
          <w:rFonts w:hint="eastAsia" w:ascii="仿宋_GB2312" w:hAnsi="仿宋_GB2312" w:eastAsia="仿宋_GB2312"/>
          <w:spacing w:val="-3"/>
          <w:sz w:val="32"/>
          <w:szCs w:val="32"/>
          <w:highlight w:val="none"/>
          <w:lang w:val="en-US" w:eastAsia="zh-CN"/>
        </w:rPr>
        <w:t>的</w:t>
      </w:r>
      <w:r>
        <w:rPr>
          <w:rFonts w:hint="eastAsia" w:ascii="仿宋_GB2312" w:hAnsi="仿宋_GB2312" w:eastAsia="仿宋_GB2312"/>
          <w:sz w:val="32"/>
          <w:szCs w:val="32"/>
          <w:highlight w:val="none"/>
          <w:lang w:val="en-US" w:eastAsia="zh-CN"/>
        </w:rPr>
        <w:t>冰糖橙</w:t>
      </w:r>
      <w:r>
        <w:rPr>
          <w:rFonts w:hint="eastAsia" w:ascii="仿宋_GB2312" w:hAnsi="仿宋_GB2312" w:eastAsia="仿宋_GB2312"/>
          <w:spacing w:val="-3"/>
          <w:sz w:val="32"/>
          <w:szCs w:val="32"/>
          <w:highlight w:val="none"/>
          <w:lang w:val="en-US" w:eastAsia="zh-CN"/>
        </w:rPr>
        <w:t>进行抽样检验，</w:t>
      </w:r>
      <w:r>
        <w:rPr>
          <w:rFonts w:hint="eastAsia" w:ascii="仿宋_GB2312" w:hAnsi="仿宋_GB2312" w:eastAsia="仿宋_GB2312"/>
          <w:sz w:val="32"/>
          <w:szCs w:val="32"/>
          <w:highlight w:val="none"/>
          <w:lang w:val="en-US" w:eastAsia="zh-CN"/>
        </w:rPr>
        <w:t>经抽样检验，联苯菊酯项目不符合GB2763-2021《食品安全国家标准 食品中农药最大残留量》要求，检验结论为不合格。</w:t>
      </w:r>
      <w:r>
        <w:rPr>
          <w:rFonts w:hint="eastAsia" w:ascii="仿宋_GB2312" w:hAnsi="仿宋_GB2312" w:eastAsia="仿宋_GB2312"/>
          <w:spacing w:val="-3"/>
          <w:sz w:val="32"/>
          <w:szCs w:val="32"/>
          <w:highlight w:val="none"/>
        </w:rPr>
        <w:t>当事人在规定期限内未申请复检或提出异议申请。</w:t>
      </w:r>
      <w:r>
        <w:rPr>
          <w:rFonts w:hint="eastAsia" w:ascii="仿宋_GB2312" w:hAnsi="仿宋_GB2312" w:eastAsia="仿宋_GB2312"/>
          <w:spacing w:val="-3"/>
          <w:sz w:val="32"/>
          <w:szCs w:val="32"/>
          <w:highlight w:val="none"/>
          <w:lang w:eastAsia="zh-CN"/>
        </w:rPr>
        <w:t>当事人表示上述不合格食品系</w:t>
      </w:r>
      <w:r>
        <w:rPr>
          <w:rFonts w:hint="eastAsia" w:ascii="仿宋_GB2312" w:hAnsi="仿宋_GB2312" w:eastAsia="仿宋_GB2312"/>
          <w:sz w:val="32"/>
          <w:szCs w:val="32"/>
          <w:highlight w:val="none"/>
          <w:lang w:val="en-US" w:eastAsia="zh-CN"/>
        </w:rPr>
        <w:t>2025年6月24日从位于福州市闽侯县南通镇海峡果品批发市场内南果交易区4号棚07号的闽侯县南通集果轩果业商行购进的。</w:t>
      </w:r>
      <w:r>
        <w:rPr>
          <w:rFonts w:hint="eastAsia" w:ascii="仿宋_GB2312" w:hAnsi="仿宋_GB2312" w:eastAsia="仿宋_GB2312"/>
          <w:spacing w:val="-3"/>
          <w:sz w:val="32"/>
          <w:szCs w:val="32"/>
          <w:highlight w:val="none"/>
          <w:lang w:val="en-US" w:eastAsia="zh-CN"/>
        </w:rPr>
        <w:t>2025年8月14号，本局向</w:t>
      </w:r>
      <w:r>
        <w:rPr>
          <w:rFonts w:hint="eastAsia" w:ascii="仿宋_GB2312" w:hAnsi="仿宋_GB2312" w:eastAsia="仿宋_GB2312"/>
          <w:sz w:val="32"/>
          <w:szCs w:val="32"/>
          <w:highlight w:val="none"/>
          <w:lang w:val="en-US" w:eastAsia="zh-CN"/>
        </w:rPr>
        <w:t>闽侯县南通集果轩果业商行</w:t>
      </w:r>
      <w:r>
        <w:rPr>
          <w:rFonts w:hint="eastAsia" w:ascii="仿宋_GB2312" w:hAnsi="仿宋_GB2312" w:eastAsia="仿宋_GB2312"/>
          <w:spacing w:val="-3"/>
          <w:sz w:val="32"/>
          <w:szCs w:val="32"/>
          <w:highlight w:val="none"/>
          <w:lang w:val="en-US" w:eastAsia="zh-CN"/>
        </w:rPr>
        <w:t>所在地的闽侯县市场监管局发协助调查函（涵市监协国欢〔2025〕005号），核查涉案批次的不合格冰糖橙是否是</w:t>
      </w:r>
      <w:r>
        <w:rPr>
          <w:rFonts w:hint="eastAsia" w:ascii="仿宋_GB2312" w:hAnsi="仿宋_GB2312" w:eastAsia="仿宋_GB2312"/>
          <w:sz w:val="32"/>
          <w:szCs w:val="32"/>
          <w:highlight w:val="none"/>
          <w:lang w:val="en-US" w:eastAsia="zh-CN"/>
        </w:rPr>
        <w:t>闽侯县南通集果轩果业商行</w:t>
      </w:r>
      <w:r>
        <w:rPr>
          <w:rFonts w:hint="eastAsia" w:ascii="仿宋_GB2312" w:hAnsi="仿宋_GB2312" w:eastAsia="仿宋_GB2312"/>
          <w:spacing w:val="-3"/>
          <w:sz w:val="32"/>
          <w:szCs w:val="32"/>
          <w:highlight w:val="none"/>
          <w:lang w:val="en-US" w:eastAsia="zh-CN"/>
        </w:rPr>
        <w:t>提供给</w:t>
      </w:r>
      <w:r>
        <w:rPr>
          <w:rFonts w:hint="eastAsia" w:ascii="仿宋_GB2312" w:eastAsia="仿宋_GB2312"/>
          <w:color w:val="000000" w:themeColor="text1"/>
          <w:sz w:val="32"/>
          <w:szCs w:val="32"/>
          <w:highlight w:val="none"/>
          <w:u w:val="none"/>
          <w:lang w:eastAsia="zh-CN"/>
          <w14:textFill>
            <w14:solidFill>
              <w14:schemeClr w14:val="tx1"/>
            </w14:solidFill>
          </w14:textFill>
        </w:rPr>
        <w:t>莆田市涵江区刘海乾水果店</w:t>
      </w:r>
      <w:r>
        <w:rPr>
          <w:rFonts w:hint="eastAsia" w:ascii="仿宋_GB2312" w:hAnsi="仿宋_GB2312" w:eastAsia="仿宋_GB2312"/>
          <w:sz w:val="32"/>
          <w:szCs w:val="32"/>
          <w:highlight w:val="none"/>
          <w:lang w:val="en-US" w:eastAsia="zh-CN"/>
        </w:rPr>
        <w:t>的，2025年8月25日，闽侯县市场监管局回函（侯市监南协复</w:t>
      </w:r>
      <w:r>
        <w:rPr>
          <w:rFonts w:hint="eastAsia" w:ascii="仿宋_GB2312" w:hAnsi="仿宋_GB2312" w:eastAsia="仿宋_GB2312"/>
          <w:spacing w:val="-3"/>
          <w:sz w:val="32"/>
          <w:szCs w:val="32"/>
          <w:highlight w:val="none"/>
          <w:lang w:val="en-US" w:eastAsia="zh-CN"/>
        </w:rPr>
        <w:t>〔2025〕104号</w:t>
      </w:r>
      <w:r>
        <w:rPr>
          <w:rFonts w:hint="eastAsia" w:ascii="仿宋_GB2312" w:hAnsi="仿宋_GB2312" w:eastAsia="仿宋_GB2312"/>
          <w:sz w:val="32"/>
          <w:szCs w:val="32"/>
          <w:highlight w:val="none"/>
          <w:lang w:val="en-US" w:eastAsia="zh-CN"/>
        </w:rPr>
        <w:t>）表示</w:t>
      </w:r>
      <w:r>
        <w:rPr>
          <w:rFonts w:hint="eastAsia" w:ascii="仿宋_GB2312" w:hAnsi="仿宋_GB2312" w:eastAsia="仿宋_GB2312"/>
          <w:spacing w:val="-3"/>
          <w:sz w:val="32"/>
          <w:szCs w:val="32"/>
          <w:highlight w:val="none"/>
          <w:lang w:val="en-US" w:eastAsia="zh-CN"/>
        </w:rPr>
        <w:t>涉案批次的不合格冰糖橙并非</w:t>
      </w:r>
      <w:r>
        <w:rPr>
          <w:rFonts w:hint="eastAsia" w:ascii="仿宋_GB2312" w:hAnsi="仿宋_GB2312" w:eastAsia="仿宋_GB2312"/>
          <w:sz w:val="32"/>
          <w:szCs w:val="32"/>
          <w:highlight w:val="none"/>
          <w:lang w:val="en-US" w:eastAsia="zh-CN"/>
        </w:rPr>
        <w:t>闽侯县南通集果轩果业商行</w:t>
      </w:r>
      <w:r>
        <w:rPr>
          <w:rFonts w:hint="eastAsia" w:ascii="仿宋_GB2312" w:hAnsi="仿宋_GB2312" w:eastAsia="仿宋_GB2312"/>
          <w:spacing w:val="-3"/>
          <w:sz w:val="32"/>
          <w:szCs w:val="32"/>
          <w:highlight w:val="none"/>
          <w:lang w:val="en-US" w:eastAsia="zh-CN"/>
        </w:rPr>
        <w:t>提供给</w:t>
      </w:r>
      <w:r>
        <w:rPr>
          <w:rFonts w:hint="eastAsia" w:ascii="仿宋_GB2312" w:eastAsia="仿宋_GB2312"/>
          <w:color w:val="000000" w:themeColor="text1"/>
          <w:sz w:val="32"/>
          <w:szCs w:val="32"/>
          <w:highlight w:val="none"/>
          <w:u w:val="none"/>
          <w:lang w:eastAsia="zh-CN"/>
          <w14:textFill>
            <w14:solidFill>
              <w14:schemeClr w14:val="tx1"/>
            </w14:solidFill>
          </w14:textFill>
        </w:rPr>
        <w:t>莆田市涵江区刘海乾水果店</w:t>
      </w:r>
      <w:r>
        <w:rPr>
          <w:rFonts w:hint="eastAsia" w:ascii="仿宋_GB2312" w:hAnsi="仿宋_GB2312" w:eastAsia="仿宋_GB2312"/>
          <w:sz w:val="32"/>
          <w:szCs w:val="32"/>
          <w:highlight w:val="none"/>
          <w:lang w:val="en-US" w:eastAsia="zh-CN"/>
        </w:rPr>
        <w:t>的。因当事人</w:t>
      </w:r>
      <w:r>
        <w:rPr>
          <w:rFonts w:hint="eastAsia" w:ascii="仿宋_GB2312" w:hAnsi="仿宋_GB2312" w:eastAsia="仿宋_GB2312"/>
          <w:spacing w:val="-3"/>
          <w:sz w:val="32"/>
          <w:szCs w:val="32"/>
          <w:highlight w:val="none"/>
          <w:lang w:val="en-US" w:eastAsia="zh-CN"/>
        </w:rPr>
        <w:t>不合格冰糖橙来源及购进数量无法确认，按</w:t>
      </w:r>
      <w:r>
        <w:rPr>
          <w:rFonts w:hint="eastAsia" w:ascii="仿宋_GB2312" w:hAnsi="仿宋_GB2312" w:eastAsia="仿宋_GB2312"/>
          <w:sz w:val="32"/>
          <w:szCs w:val="32"/>
          <w:highlight w:val="none"/>
          <w:lang w:val="en-US" w:eastAsia="zh-CN"/>
        </w:rPr>
        <w:t>食品安全抽样检验抽样单记录的数量及销售金额计算，当事人违法经营额共计38.72元，违法所得无法查清。</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上述事实，主要有以下证据证明：</w:t>
      </w:r>
      <w:r>
        <w:rPr>
          <w:rFonts w:hint="eastAsia" w:ascii="仿宋_GB2312" w:hAnsi="仿宋_GB2312" w:eastAsia="仿宋_GB2312"/>
          <w:sz w:val="32"/>
          <w:szCs w:val="32"/>
        </w:rPr>
        <w:t>询问笔录1份</w:t>
      </w:r>
      <w:r>
        <w:rPr>
          <w:rFonts w:hint="eastAsia" w:ascii="仿宋_GB2312" w:hAnsi="仿宋_GB2312" w:eastAsia="仿宋_GB2312" w:cs="仿宋_GB2312"/>
          <w:sz w:val="32"/>
          <w:szCs w:val="32"/>
        </w:rPr>
        <w:t>，</w:t>
      </w:r>
      <w:r>
        <w:rPr>
          <w:rFonts w:hint="eastAsia" w:ascii="仿宋_GB2312" w:hAnsi="仿宋_GB2312" w:eastAsia="仿宋_GB2312"/>
          <w:spacing w:val="-3"/>
          <w:sz w:val="32"/>
          <w:szCs w:val="32"/>
          <w:highlight w:val="none"/>
        </w:rPr>
        <w:t>现场拍摄的现场检查照片</w:t>
      </w:r>
      <w:r>
        <w:rPr>
          <w:rFonts w:hint="eastAsia" w:ascii="仿宋_GB2312" w:hAnsi="仿宋_GB2312" w:eastAsia="仿宋_GB2312"/>
          <w:spacing w:val="-3"/>
          <w:sz w:val="32"/>
          <w:szCs w:val="32"/>
          <w:highlight w:val="none"/>
          <w:lang w:val="en-US" w:eastAsia="zh-CN"/>
        </w:rPr>
        <w:t>3</w:t>
      </w:r>
      <w:r>
        <w:rPr>
          <w:rFonts w:hint="eastAsia" w:ascii="仿宋_GB2312" w:hAnsi="仿宋_GB2312" w:eastAsia="仿宋_GB2312"/>
          <w:spacing w:val="-3"/>
          <w:sz w:val="32"/>
          <w:szCs w:val="32"/>
          <w:highlight w:val="none"/>
        </w:rPr>
        <w:t>张</w:t>
      </w:r>
      <w:r>
        <w:rPr>
          <w:rFonts w:hint="eastAsia" w:ascii="仿宋_GB2312" w:hAnsi="仿宋_GB2312" w:eastAsia="仿宋_GB2312" w:cs="仿宋_GB2312"/>
          <w:sz w:val="32"/>
          <w:szCs w:val="32"/>
        </w:rPr>
        <w:t>、</w:t>
      </w:r>
      <w:r>
        <w:rPr>
          <w:rFonts w:hint="eastAsia" w:ascii="仿宋_GB2312" w:hAnsi="仿宋_GB2312" w:eastAsia="仿宋_GB2312"/>
          <w:spacing w:val="-3"/>
          <w:sz w:val="32"/>
          <w:szCs w:val="32"/>
          <w:highlight w:val="none"/>
          <w:lang w:val="en-US" w:eastAsia="zh-CN"/>
        </w:rPr>
        <w:t>邮政EMS邮寄送达面单一份</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highlight w:val="none"/>
          <w:lang w:val="en-US" w:eastAsia="zh-CN"/>
        </w:rPr>
        <w:t>福建中检华日食品安全检测有限公司（NO：XBJ25350303370800015）</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sz w:val="32"/>
          <w:szCs w:val="32"/>
          <w:highlight w:val="none"/>
          <w:lang w:val="en-US" w:eastAsia="zh-CN"/>
        </w:rPr>
        <w:t>食品安全抽样检验抽样单（食用农产品）（XBJ25350303370800015）</w:t>
      </w:r>
      <w:r>
        <w:rPr>
          <w:rFonts w:hint="eastAsia" w:ascii="仿宋_GB2312" w:hAnsi="仿宋_GB2312" w:eastAsia="仿宋_GB2312"/>
          <w:spacing w:val="-3"/>
          <w:sz w:val="32"/>
          <w:szCs w:val="32"/>
          <w:highlight w:val="none"/>
          <w:lang w:val="en-US" w:eastAsia="zh-CN"/>
        </w:rPr>
        <w:t>各</w:t>
      </w:r>
      <w:r>
        <w:rPr>
          <w:rFonts w:hint="eastAsia" w:ascii="Times New Roman" w:hAnsi="Times New Roman" w:eastAsia="仿宋_GB2312" w:cs="Times New Roman"/>
          <w:sz w:val="32"/>
          <w:szCs w:val="32"/>
          <w:highlight w:val="none"/>
          <w:lang w:val="en-US" w:eastAsia="zh-CN"/>
        </w:rPr>
        <w:t>1</w:t>
      </w:r>
      <w:r>
        <w:rPr>
          <w:rFonts w:hint="eastAsia" w:ascii="仿宋_GB2312" w:hAnsi="仿宋" w:eastAsia="仿宋_GB2312"/>
          <w:sz w:val="32"/>
          <w:szCs w:val="32"/>
          <w:highlight w:val="none"/>
        </w:rPr>
        <w:t>份</w:t>
      </w:r>
      <w:r>
        <w:rPr>
          <w:rFonts w:hint="eastAsia" w:ascii="仿宋_GB2312" w:hAnsi="仿宋_GB2312" w:eastAsia="仿宋_GB2312" w:cs="仿宋_GB2312"/>
          <w:sz w:val="32"/>
          <w:szCs w:val="32"/>
        </w:rPr>
        <w:t>、</w:t>
      </w:r>
      <w:r>
        <w:rPr>
          <w:rFonts w:hint="eastAsia" w:ascii="仿宋_GB2312" w:eastAsia="仿宋_GB2312"/>
          <w:color w:val="auto"/>
          <w:sz w:val="32"/>
          <w:szCs w:val="32"/>
          <w:highlight w:val="none"/>
          <w:u w:val="none"/>
          <w:lang w:eastAsia="zh-CN"/>
        </w:rPr>
        <w:t>莆田市涵江区刘海乾水果店</w:t>
      </w:r>
      <w:r>
        <w:rPr>
          <w:rFonts w:hint="eastAsia" w:ascii="仿宋_GB2312" w:hAnsi="仿宋_GB2312" w:eastAsia="仿宋_GB2312"/>
          <w:color w:val="auto"/>
          <w:spacing w:val="-3"/>
          <w:sz w:val="32"/>
          <w:szCs w:val="32"/>
          <w:highlight w:val="none"/>
        </w:rPr>
        <w:t>营业执照、食品药品生产经营</w:t>
      </w:r>
      <w:r>
        <w:rPr>
          <w:rFonts w:hint="eastAsia" w:ascii="仿宋_GB2312" w:hAnsi="仿宋_GB2312" w:eastAsia="仿宋_GB2312"/>
          <w:color w:val="auto"/>
          <w:spacing w:val="-3"/>
          <w:sz w:val="32"/>
          <w:szCs w:val="32"/>
          <w:highlight w:val="none"/>
          <w:lang w:eastAsia="zh-CN"/>
        </w:rPr>
        <w:t>许可证、</w:t>
      </w:r>
      <w:r>
        <w:rPr>
          <w:rFonts w:hint="eastAsia" w:ascii="仿宋_GB2312" w:hAnsi="仿宋_GB2312" w:eastAsia="仿宋_GB2312"/>
          <w:color w:val="auto"/>
          <w:spacing w:val="-3"/>
          <w:sz w:val="32"/>
          <w:szCs w:val="32"/>
          <w:highlight w:val="none"/>
        </w:rPr>
        <w:t>经营者居民身份证复印件各1份</w:t>
      </w:r>
      <w:r>
        <w:rPr>
          <w:rFonts w:hint="eastAsia" w:ascii="仿宋_GB2312" w:hAnsi="仿宋_GB2312" w:eastAsia="仿宋_GB2312"/>
          <w:sz w:val="32"/>
          <w:szCs w:val="32"/>
          <w:lang w:val="en-US" w:eastAsia="zh-CN"/>
        </w:rPr>
        <w:t>、</w:t>
      </w:r>
      <w:r>
        <w:rPr>
          <w:rFonts w:hint="eastAsia" w:ascii="仿宋_GB2312" w:hAnsi="仿宋_GB2312" w:eastAsia="仿宋_GB2312" w:cs="仿宋_GB2312"/>
          <w:spacing w:val="-3"/>
          <w:kern w:val="2"/>
          <w:sz w:val="32"/>
          <w:szCs w:val="32"/>
          <w:lang w:val="en-US" w:eastAsia="zh-CN" w:bidi="ar"/>
        </w:rPr>
        <w:t>当事人授权委托书1份，委托代理人身份证复印件1份、</w:t>
      </w:r>
      <w:r>
        <w:rPr>
          <w:rFonts w:hint="eastAsia" w:ascii="仿宋_GB2312" w:eastAsia="仿宋_GB2312"/>
          <w:color w:val="auto"/>
          <w:sz w:val="32"/>
          <w:szCs w:val="32"/>
          <w:highlight w:val="none"/>
          <w:u w:val="none"/>
          <w:lang w:eastAsia="zh-CN"/>
        </w:rPr>
        <w:t>莆田市涵江区刘海乾水果店提供的抽检不合格批次的冰糖橙的供应商的营业执照复印件</w:t>
      </w:r>
      <w:r>
        <w:rPr>
          <w:rFonts w:hint="eastAsia" w:ascii="仿宋_GB2312" w:eastAsia="仿宋_GB2312"/>
          <w:color w:val="auto"/>
          <w:sz w:val="32"/>
          <w:szCs w:val="32"/>
          <w:highlight w:val="none"/>
          <w:u w:val="none"/>
          <w:lang w:val="en-US" w:eastAsia="zh-CN"/>
        </w:rPr>
        <w:t>1份，供货凭证1份</w:t>
      </w:r>
      <w:r>
        <w:rPr>
          <w:rFonts w:hint="eastAsia" w:ascii="仿宋_GB2312" w:hAnsi="仿宋_GB2312" w:eastAsia="仿宋_GB2312"/>
          <w:color w:val="auto"/>
          <w:spacing w:val="-3"/>
          <w:sz w:val="32"/>
          <w:szCs w:val="32"/>
          <w:highlight w:val="none"/>
          <w:lang w:val="en-US" w:eastAsia="zh-CN"/>
        </w:rPr>
        <w:t>、涵江区市场监管局协助调查函1份、闽侯县市场监管局协助调查函复函1份、闽侯县市场监管局对</w:t>
      </w:r>
      <w:r>
        <w:rPr>
          <w:rFonts w:hint="eastAsia" w:ascii="仿宋_GB2312" w:hAnsi="仿宋_GB2312" w:eastAsia="仿宋_GB2312"/>
          <w:color w:val="auto"/>
          <w:sz w:val="32"/>
          <w:szCs w:val="32"/>
          <w:highlight w:val="none"/>
          <w:lang w:val="en-US" w:eastAsia="zh-CN"/>
        </w:rPr>
        <w:t>闽侯县南通集果轩果业商行</w:t>
      </w:r>
      <w:r>
        <w:rPr>
          <w:rFonts w:hint="eastAsia" w:ascii="仿宋_GB2312" w:hAnsi="仿宋_GB2312" w:eastAsia="仿宋_GB2312"/>
          <w:color w:val="auto"/>
          <w:spacing w:val="-3"/>
          <w:sz w:val="32"/>
          <w:szCs w:val="32"/>
          <w:highlight w:val="none"/>
          <w:lang w:val="en-US" w:eastAsia="zh-CN"/>
        </w:rPr>
        <w:t>经营者的询问笔录1份、专家认定表1份（编号：2025021）</w:t>
      </w:r>
      <w:r>
        <w:rPr>
          <w:rFonts w:hint="eastAsia" w:ascii="仿宋_GB2312" w:hAnsi="仿宋_GB2312" w:eastAsia="仿宋_GB2312" w:cs="仿宋_GB2312"/>
          <w:spacing w:val="-3"/>
          <w:sz w:val="32"/>
          <w:szCs w:val="32"/>
          <w:lang w:eastAsia="zh-CN"/>
        </w:rPr>
        <w:t>等</w:t>
      </w:r>
      <w:r>
        <w:rPr>
          <w:rFonts w:hint="eastAsia" w:ascii="仿宋_GB2312" w:hAnsi="仿宋_GB2312" w:eastAsia="仿宋_GB2312"/>
          <w:spacing w:val="-3"/>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本局于202</w:t>
      </w:r>
      <w:r>
        <w:rPr>
          <w:rFonts w:hint="eastAsia" w:ascii="仿宋_GB2312" w:hAnsi="仿宋_GB2312" w:eastAsia="仿宋_GB2312"/>
          <w:spacing w:val="-3"/>
          <w:sz w:val="32"/>
          <w:szCs w:val="32"/>
          <w:highlight w:val="none"/>
          <w:lang w:val="en-US" w:eastAsia="zh-CN"/>
        </w:rPr>
        <w:t>5</w:t>
      </w:r>
      <w:r>
        <w:rPr>
          <w:rFonts w:hint="eastAsia" w:ascii="仿宋_GB2312" w:hAnsi="仿宋_GB2312" w:eastAsia="仿宋_GB2312"/>
          <w:spacing w:val="-3"/>
          <w:sz w:val="32"/>
          <w:szCs w:val="32"/>
          <w:highlight w:val="none"/>
        </w:rPr>
        <w:t>年</w:t>
      </w:r>
      <w:r>
        <w:rPr>
          <w:rFonts w:hint="eastAsia" w:ascii="仿宋_GB2312" w:hAnsi="仿宋_GB2312" w:eastAsia="仿宋_GB2312"/>
          <w:spacing w:val="-3"/>
          <w:sz w:val="32"/>
          <w:szCs w:val="32"/>
          <w:highlight w:val="none"/>
          <w:lang w:val="en-US" w:eastAsia="zh-CN"/>
        </w:rPr>
        <w:t>10</w:t>
      </w:r>
      <w:r>
        <w:rPr>
          <w:rFonts w:hint="eastAsia" w:ascii="仿宋_GB2312" w:hAnsi="仿宋_GB2312" w:eastAsia="仿宋_GB2312"/>
          <w:spacing w:val="-3"/>
          <w:sz w:val="32"/>
          <w:szCs w:val="32"/>
          <w:highlight w:val="none"/>
        </w:rPr>
        <w:t>月</w:t>
      </w:r>
      <w:r>
        <w:rPr>
          <w:rFonts w:hint="eastAsia" w:ascii="仿宋_GB2312" w:hAnsi="仿宋_GB2312" w:eastAsia="仿宋_GB2312"/>
          <w:spacing w:val="-3"/>
          <w:sz w:val="32"/>
          <w:szCs w:val="32"/>
          <w:highlight w:val="none"/>
          <w:lang w:val="en-US" w:eastAsia="zh-CN"/>
        </w:rPr>
        <w:t>2</w:t>
      </w:r>
      <w:r>
        <w:rPr>
          <w:rFonts w:hint="eastAsia" w:ascii="仿宋_GB2312" w:hAnsi="仿宋_GB2312" w:eastAsia="仿宋_GB2312"/>
          <w:spacing w:val="-3"/>
          <w:sz w:val="32"/>
          <w:szCs w:val="32"/>
          <w:highlight w:val="none"/>
        </w:rPr>
        <w:t>日</w:t>
      </w:r>
      <w:r>
        <w:rPr>
          <w:rFonts w:hint="eastAsia" w:ascii="仿宋_GB2312" w:hAnsi="仿宋_GB2312" w:eastAsia="仿宋_GB2312"/>
          <w:spacing w:val="-3"/>
          <w:sz w:val="32"/>
          <w:szCs w:val="32"/>
          <w:highlight w:val="none"/>
          <w:lang w:eastAsia="zh-CN"/>
        </w:rPr>
        <w:t>通过邮寄</w:t>
      </w:r>
      <w:r>
        <w:rPr>
          <w:rFonts w:hint="eastAsia" w:ascii="仿宋_GB2312" w:hAnsi="仿宋_GB2312" w:eastAsia="仿宋_GB2312"/>
          <w:spacing w:val="-3"/>
          <w:sz w:val="32"/>
          <w:szCs w:val="32"/>
          <w:highlight w:val="none"/>
        </w:rPr>
        <w:t>向当事人依法送达了《莆田市</w:t>
      </w:r>
      <w:r>
        <w:rPr>
          <w:rFonts w:hint="eastAsia" w:ascii="仿宋_GB2312" w:hAnsi="仿宋_GB2312" w:eastAsia="仿宋_GB2312"/>
          <w:spacing w:val="-3"/>
          <w:sz w:val="32"/>
          <w:szCs w:val="32"/>
          <w:highlight w:val="none"/>
          <w:lang w:eastAsia="zh-CN"/>
        </w:rPr>
        <w:t>涵江区</w:t>
      </w:r>
      <w:r>
        <w:rPr>
          <w:rFonts w:hint="eastAsia" w:ascii="仿宋_GB2312" w:hAnsi="仿宋_GB2312" w:eastAsia="仿宋_GB2312"/>
          <w:spacing w:val="-3"/>
          <w:sz w:val="32"/>
          <w:szCs w:val="32"/>
          <w:highlight w:val="none"/>
        </w:rPr>
        <w:t>市场监督管理局行政处罚告知书》（</w:t>
      </w:r>
      <w:r>
        <w:rPr>
          <w:rFonts w:hint="eastAsia" w:ascii="仿宋_GB2312" w:hAnsi="仿宋_GB2312" w:eastAsia="仿宋_GB2312"/>
          <w:spacing w:val="-3"/>
          <w:sz w:val="32"/>
          <w:szCs w:val="32"/>
          <w:lang w:eastAsia="zh-CN"/>
        </w:rPr>
        <w:t>涵</w:t>
      </w:r>
      <w:r>
        <w:rPr>
          <w:rFonts w:hint="eastAsia" w:ascii="仿宋_GB2312" w:hAnsi="仿宋_GB2312" w:eastAsia="仿宋_GB2312"/>
          <w:spacing w:val="-3"/>
          <w:sz w:val="32"/>
          <w:szCs w:val="32"/>
        </w:rPr>
        <w:t>市监</w:t>
      </w:r>
      <w:r>
        <w:rPr>
          <w:rFonts w:hint="eastAsia" w:ascii="仿宋_GB2312" w:hAnsi="仿宋_GB2312" w:eastAsia="仿宋_GB2312"/>
          <w:spacing w:val="-3"/>
          <w:sz w:val="32"/>
          <w:szCs w:val="32"/>
          <w:highlight w:val="none"/>
          <w:lang w:eastAsia="zh-CN"/>
        </w:rPr>
        <w:t>罚</w:t>
      </w:r>
      <w:r>
        <w:rPr>
          <w:rFonts w:hint="eastAsia" w:ascii="仿宋_GB2312" w:hAnsi="仿宋_GB2312" w:eastAsia="仿宋_GB2312"/>
          <w:spacing w:val="-3"/>
          <w:sz w:val="32"/>
          <w:szCs w:val="32"/>
          <w:highlight w:val="none"/>
        </w:rPr>
        <w:t>告</w:t>
      </w:r>
      <w:r>
        <w:rPr>
          <w:rFonts w:hint="eastAsia" w:ascii="仿宋_GB2312" w:hAnsi="仿宋_GB2312" w:eastAsia="仿宋_GB2312"/>
          <w:spacing w:val="-3"/>
          <w:sz w:val="32"/>
          <w:szCs w:val="32"/>
        </w:rPr>
        <w:t>〔202</w:t>
      </w:r>
      <w:r>
        <w:rPr>
          <w:rFonts w:hint="eastAsia" w:ascii="仿宋_GB2312" w:hAnsi="仿宋_GB2312" w:eastAsia="仿宋_GB2312"/>
          <w:spacing w:val="-3"/>
          <w:sz w:val="32"/>
          <w:szCs w:val="32"/>
          <w:lang w:val="en-US" w:eastAsia="zh-CN"/>
        </w:rPr>
        <w:t>5</w:t>
      </w:r>
      <w:r>
        <w:rPr>
          <w:rFonts w:hint="eastAsia" w:ascii="仿宋_GB2312" w:hAnsi="仿宋_GB2312" w:eastAsia="仿宋_GB2312"/>
          <w:spacing w:val="-3"/>
          <w:sz w:val="32"/>
          <w:szCs w:val="32"/>
        </w:rPr>
        <w:t>〕</w:t>
      </w:r>
      <w:r>
        <w:rPr>
          <w:rFonts w:hint="eastAsia" w:ascii="仿宋_GB2312" w:hAnsi="仿宋_GB2312" w:eastAsia="仿宋_GB2312"/>
          <w:spacing w:val="-3"/>
          <w:sz w:val="32"/>
          <w:szCs w:val="32"/>
          <w:lang w:val="en-US" w:eastAsia="zh-CN"/>
        </w:rPr>
        <w:t>0811</w:t>
      </w:r>
      <w:r>
        <w:rPr>
          <w:rFonts w:hint="eastAsia" w:ascii="仿宋_GB2312" w:hAnsi="仿宋_GB2312" w:eastAsia="仿宋_GB2312"/>
          <w:spacing w:val="-3"/>
          <w:sz w:val="32"/>
          <w:szCs w:val="32"/>
        </w:rPr>
        <w:t>000</w:t>
      </w:r>
      <w:r>
        <w:rPr>
          <w:rFonts w:hint="eastAsia" w:ascii="仿宋_GB2312" w:hAnsi="仿宋_GB2312" w:eastAsia="仿宋_GB2312"/>
          <w:spacing w:val="-3"/>
          <w:sz w:val="32"/>
          <w:szCs w:val="32"/>
          <w:lang w:val="en-US" w:eastAsia="zh-CN"/>
        </w:rPr>
        <w:t>1</w:t>
      </w:r>
      <w:r>
        <w:rPr>
          <w:rFonts w:hint="eastAsia" w:ascii="仿宋_GB2312" w:hAnsi="仿宋_GB2312" w:eastAsia="仿宋_GB2312"/>
          <w:spacing w:val="-3"/>
          <w:sz w:val="32"/>
          <w:szCs w:val="32"/>
        </w:rPr>
        <w:t>号</w:t>
      </w:r>
      <w:r>
        <w:rPr>
          <w:rFonts w:hint="eastAsia" w:ascii="仿宋_GB2312" w:hAnsi="仿宋_GB2312" w:eastAsia="仿宋_GB2312"/>
          <w:spacing w:val="-3"/>
          <w:sz w:val="32"/>
          <w:szCs w:val="32"/>
          <w:highlight w:val="none"/>
        </w:rPr>
        <w:t>），告知当事人拟作出行政处罚的事实、理由、依据、处罚内容及其依法享有陈述、申辩的权利，当事人未在法定期限内提出陈述、申辩。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仿宋_GB2312"/>
          <w:b/>
          <w:sz w:val="32"/>
          <w:szCs w:val="32"/>
          <w:highlight w:val="none"/>
        </w:rPr>
      </w:pPr>
      <w:r>
        <w:rPr>
          <w:rFonts w:hint="eastAsia" w:eastAsia="仿宋_GB2312" w:cs="仿宋_GB2312"/>
          <w:sz w:val="32"/>
          <w:szCs w:val="32"/>
        </w:rPr>
        <w:t>本局认为，</w:t>
      </w:r>
      <w:r>
        <w:rPr>
          <w:rFonts w:hint="eastAsia" w:ascii="Times New Roman" w:hAnsi="Times New Roman" w:eastAsia="仿宋_GB2312" w:cs="仿宋_GB2312"/>
          <w:b w:val="0"/>
          <w:bCs/>
          <w:sz w:val="32"/>
          <w:szCs w:val="32"/>
          <w:highlight w:val="none"/>
        </w:rPr>
        <w:t>当事人采购</w:t>
      </w:r>
      <w:r>
        <w:rPr>
          <w:rFonts w:hint="eastAsia" w:ascii="Times New Roman" w:hAnsi="Times New Roman" w:eastAsia="仿宋_GB2312" w:cs="仿宋_GB2312"/>
          <w:b w:val="0"/>
          <w:bCs/>
          <w:sz w:val="32"/>
          <w:szCs w:val="32"/>
          <w:highlight w:val="none"/>
          <w:lang w:eastAsia="zh-CN"/>
        </w:rPr>
        <w:t>冰糖橙未如实记录食用农产品的供货者名称、地址、联系方式等内容</w:t>
      </w:r>
      <w:r>
        <w:rPr>
          <w:rFonts w:hint="eastAsia" w:ascii="Times New Roman" w:hAnsi="Times New Roman" w:eastAsia="仿宋_GB2312" w:cs="仿宋_GB2312"/>
          <w:b w:val="0"/>
          <w:bCs/>
          <w:sz w:val="32"/>
          <w:szCs w:val="32"/>
          <w:highlight w:val="none"/>
        </w:rPr>
        <w:t>，其行为违法了《中华人民共和国食品安全法》第</w:t>
      </w:r>
      <w:r>
        <w:rPr>
          <w:rFonts w:hint="eastAsia" w:ascii="Times New Roman" w:hAnsi="Times New Roman" w:eastAsia="仿宋_GB2312" w:cs="仿宋_GB2312"/>
          <w:b w:val="0"/>
          <w:bCs/>
          <w:sz w:val="32"/>
          <w:szCs w:val="32"/>
          <w:highlight w:val="none"/>
          <w:lang w:eastAsia="zh-CN"/>
        </w:rPr>
        <w:t>六十五</w:t>
      </w:r>
      <w:r>
        <w:rPr>
          <w:rFonts w:hint="eastAsia" w:ascii="Times New Roman" w:hAnsi="Times New Roman" w:eastAsia="仿宋_GB2312" w:cs="仿宋_GB2312"/>
          <w:b w:val="0"/>
          <w:bCs/>
          <w:sz w:val="32"/>
          <w:szCs w:val="32"/>
          <w:highlight w:val="none"/>
        </w:rPr>
        <w:t>条的规定，属</w:t>
      </w:r>
      <w:r>
        <w:rPr>
          <w:rFonts w:hint="eastAsia" w:ascii="Times New Roman" w:hAnsi="Times New Roman" w:eastAsia="仿宋_GB2312" w:cs="仿宋_GB2312"/>
          <w:b w:val="0"/>
          <w:bCs/>
          <w:sz w:val="32"/>
          <w:szCs w:val="32"/>
          <w:highlight w:val="none"/>
          <w:lang w:eastAsia="zh-CN"/>
        </w:rPr>
        <w:t>于</w:t>
      </w:r>
      <w:r>
        <w:rPr>
          <w:rFonts w:hint="eastAsia" w:ascii="Times New Roman" w:hAnsi="Times New Roman" w:eastAsia="仿宋_GB2312" w:cs="仿宋_GB2312"/>
          <w:b w:val="0"/>
          <w:bCs/>
          <w:sz w:val="32"/>
          <w:szCs w:val="32"/>
          <w:highlight w:val="none"/>
        </w:rPr>
        <w:t>未建立食用农产品进货查验记录制度的违法行为。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pacing w:val="-3"/>
          <w:sz w:val="32"/>
          <w:szCs w:val="32"/>
        </w:rPr>
      </w:pPr>
      <w:r>
        <w:rPr>
          <w:rFonts w:hint="eastAsia" w:ascii="Times New Roman" w:hAnsi="Times New Roman" w:eastAsia="仿宋_GB2312" w:cs="仿宋_GB2312"/>
          <w:b w:val="0"/>
          <w:bCs/>
          <w:sz w:val="32"/>
          <w:szCs w:val="32"/>
          <w:highlight w:val="none"/>
        </w:rPr>
        <w:t>承办人认为，当事人销售</w:t>
      </w:r>
      <w:r>
        <w:rPr>
          <w:rFonts w:hint="eastAsia" w:ascii="Times New Roman" w:hAnsi="Times New Roman" w:eastAsia="仿宋_GB2312" w:cs="仿宋_GB2312"/>
          <w:b w:val="0"/>
          <w:bCs/>
          <w:sz w:val="32"/>
          <w:szCs w:val="32"/>
          <w:highlight w:val="none"/>
          <w:lang w:eastAsia="zh-CN"/>
        </w:rPr>
        <w:t>联苯菊酯项目</w:t>
      </w:r>
      <w:r>
        <w:rPr>
          <w:rFonts w:hint="eastAsia" w:ascii="Times New Roman" w:hAnsi="Times New Roman" w:eastAsia="仿宋_GB2312" w:cs="仿宋_GB2312"/>
          <w:b w:val="0"/>
          <w:bCs/>
          <w:sz w:val="32"/>
          <w:szCs w:val="32"/>
          <w:highlight w:val="none"/>
        </w:rPr>
        <w:t>不合格的</w:t>
      </w:r>
      <w:r>
        <w:rPr>
          <w:rFonts w:hint="eastAsia" w:ascii="Times New Roman" w:hAnsi="Times New Roman" w:eastAsia="仿宋_GB2312" w:cs="仿宋_GB2312"/>
          <w:b w:val="0"/>
          <w:bCs/>
          <w:sz w:val="32"/>
          <w:szCs w:val="32"/>
          <w:highlight w:val="none"/>
          <w:lang w:eastAsia="zh-CN"/>
        </w:rPr>
        <w:t>冰糖橙</w:t>
      </w:r>
      <w:r>
        <w:rPr>
          <w:rFonts w:hint="eastAsia" w:ascii="Times New Roman" w:hAnsi="Times New Roman" w:eastAsia="仿宋_GB2312" w:cs="仿宋_GB2312"/>
          <w:b w:val="0"/>
          <w:bCs/>
          <w:sz w:val="32"/>
          <w:szCs w:val="32"/>
          <w:highlight w:val="none"/>
        </w:rPr>
        <w:t>的行为，违反了《中华人民共和国食品安全法》第三十四条第（二）项的规定</w:t>
      </w:r>
      <w:r>
        <w:rPr>
          <w:rFonts w:hint="eastAsia" w:ascii="Times New Roman" w:hAnsi="Times New Roman" w:eastAsia="仿宋_GB2312" w:cs="仿宋_GB2312"/>
          <w:b w:val="0"/>
          <w:bCs/>
          <w:sz w:val="32"/>
          <w:szCs w:val="32"/>
          <w:highlight w:val="none"/>
          <w:lang w:eastAsia="zh-CN"/>
        </w:rPr>
        <w:t>，属于销售不合格食品的违法行为</w:t>
      </w:r>
      <w:r>
        <w:rPr>
          <w:rFonts w:hint="eastAsia" w:ascii="Times New Roman" w:hAnsi="Times New Roman" w:eastAsia="仿宋_GB2312" w:cs="仿宋_GB2312"/>
          <w:b w:val="0"/>
          <w:bCs/>
          <w:sz w:val="32"/>
          <w:szCs w:val="32"/>
          <w:highlight w:val="none"/>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28" w:firstLineChars="200"/>
        <w:jc w:val="both"/>
        <w:textAlignment w:val="auto"/>
        <w:rPr>
          <w:rFonts w:hint="eastAsia" w:ascii="仿宋_GB2312" w:hAnsi="仿宋_GB2312" w:eastAsia="仿宋_GB2312" w:cs="仿宋_GB2312"/>
          <w:spacing w:val="-3"/>
          <w:sz w:val="32"/>
          <w:szCs w:val="32"/>
          <w:lang w:val="en-US"/>
        </w:rPr>
      </w:pPr>
      <w:r>
        <w:rPr>
          <w:rFonts w:hint="eastAsia" w:ascii="仿宋_GB2312" w:hAnsi="仿宋_GB2312" w:eastAsia="仿宋_GB2312" w:cs="仿宋_GB2312"/>
          <w:spacing w:val="-3"/>
          <w:kern w:val="2"/>
          <w:sz w:val="32"/>
          <w:szCs w:val="32"/>
          <w:lang w:val="en-US" w:eastAsia="zh-CN" w:bidi="ar"/>
        </w:rPr>
        <w:t>鉴于当事人为个体工商户，在无检测手段的情况下，通过感官无法判定其经营的冰糖橙是否合格，违法货值金额为38.72元，不合格项目不属于农业农村部《禁限用农药名录》和第250号公告《食品动物中禁止使用的药品及其他化合物清单》中规定的禁用农兽药，涉案食品联苯菊酯残留量虽超出此类农药在该食品中的最低安全标准限量2倍，但经专家评估认定，不足以造成严重的食物中毒事故或者其他严重食源性疾病，未造成实际危害后果。但因无法核实上游供货商，无法实现对上述被抽检不合格冰糖橙的有效溯源，不符合《中华人民共和国食品安全法》第一百三十六条规定的可以免予处罚的情形，本局决定参照《福建省市场监管领域行政执法裁量四张清单（修订）》中的减轻处罚事项清单序号20，给予减轻处罚。</w:t>
      </w:r>
    </w:p>
    <w:p>
      <w:pPr>
        <w:keepNext w:val="0"/>
        <w:keepLines w:val="0"/>
        <w:pageBreakBefore w:val="0"/>
        <w:widowControl w:val="0"/>
        <w:kinsoku/>
        <w:wordWrap/>
        <w:overflowPunct/>
        <w:topLinePunct w:val="0"/>
        <w:autoSpaceDE/>
        <w:autoSpaceDN/>
        <w:bidi w:val="0"/>
        <w:adjustRightInd w:val="0"/>
        <w:snapToGrid/>
        <w:spacing w:line="560" w:lineRule="exact"/>
        <w:ind w:firstLine="628" w:firstLineChars="200"/>
        <w:textAlignment w:val="baseline"/>
        <w:rPr>
          <w:rFonts w:hint="eastAsia" w:ascii="仿宋_GB2312" w:hAnsi="仿宋" w:eastAsia="仿宋_GB2312"/>
          <w:sz w:val="32"/>
          <w:szCs w:val="32"/>
        </w:rPr>
      </w:pPr>
      <w:r>
        <w:rPr>
          <w:rFonts w:hint="eastAsia" w:ascii="仿宋_GB2312" w:hAnsi="仿宋_GB2312" w:eastAsia="仿宋_GB2312"/>
          <w:spacing w:val="-3"/>
          <w:sz w:val="32"/>
          <w:szCs w:val="32"/>
          <w:highlight w:val="none"/>
        </w:rPr>
        <w:t>依据</w:t>
      </w:r>
      <w:r>
        <w:rPr>
          <w:rFonts w:ascii="仿宋_GB2312" w:hAnsi="仿宋_GB2312" w:eastAsia="仿宋_GB2312"/>
          <w:sz w:val="32"/>
          <w:szCs w:val="32"/>
          <w:highlight w:val="none"/>
        </w:rPr>
        <w:t>《行政处罚法》第二十八条、第三十二条</w:t>
      </w:r>
      <w:r>
        <w:rPr>
          <w:rFonts w:hint="eastAsia" w:ascii="仿宋_GB2312" w:hAnsi="仿宋_GB2312" w:eastAsia="仿宋_GB2312"/>
          <w:sz w:val="32"/>
          <w:szCs w:val="32"/>
          <w:highlight w:val="none"/>
          <w:lang w:eastAsia="zh-CN"/>
        </w:rPr>
        <w:t>及</w:t>
      </w:r>
      <w:r>
        <w:rPr>
          <w:rFonts w:ascii="仿宋_GB2312" w:hAnsi="仿宋_GB2312" w:eastAsia="仿宋_GB2312"/>
          <w:sz w:val="32"/>
          <w:szCs w:val="32"/>
          <w:highlight w:val="none"/>
        </w:rPr>
        <w:t>《中华人民共和国食品安全法》第一百二十四条第一款第（一）项</w:t>
      </w:r>
      <w:r>
        <w:rPr>
          <w:rFonts w:hint="eastAsia" w:ascii="仿宋_GB2312" w:hAnsi="仿宋_GB2312" w:eastAsia="仿宋_GB2312"/>
          <w:sz w:val="32"/>
          <w:szCs w:val="32"/>
          <w:highlight w:val="none"/>
          <w:lang w:eastAsia="zh-CN"/>
        </w:rPr>
        <w:t>、</w:t>
      </w:r>
      <w:r>
        <w:rPr>
          <w:rFonts w:ascii="仿宋_GB2312" w:hAnsi="仿宋_GB2312" w:eastAsia="仿宋_GB2312"/>
          <w:sz w:val="32"/>
          <w:szCs w:val="32"/>
          <w:highlight w:val="none"/>
        </w:rPr>
        <w:t>第一百二十</w:t>
      </w:r>
      <w:r>
        <w:rPr>
          <w:rFonts w:hint="eastAsia" w:ascii="仿宋_GB2312" w:hAnsi="仿宋_GB2312" w:eastAsia="仿宋_GB2312"/>
          <w:sz w:val="32"/>
          <w:szCs w:val="32"/>
          <w:highlight w:val="none"/>
          <w:lang w:eastAsia="zh-CN"/>
        </w:rPr>
        <w:t>六</w:t>
      </w:r>
      <w:r>
        <w:rPr>
          <w:rFonts w:ascii="仿宋_GB2312" w:hAnsi="仿宋_GB2312" w:eastAsia="仿宋_GB2312"/>
          <w:sz w:val="32"/>
          <w:szCs w:val="32"/>
          <w:highlight w:val="none"/>
        </w:rPr>
        <w:t>条第一款</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第</w:t>
      </w:r>
      <w:r>
        <w:rPr>
          <w:rFonts w:hint="eastAsia" w:ascii="仿宋_GB2312" w:hAnsi="仿宋_GB2312" w:eastAsia="仿宋_GB2312"/>
          <w:sz w:val="32"/>
          <w:szCs w:val="32"/>
          <w:highlight w:val="none"/>
          <w:lang w:eastAsia="zh-CN"/>
        </w:rPr>
        <w:t>四款</w:t>
      </w:r>
      <w:r>
        <w:rPr>
          <w:rFonts w:ascii="仿宋_GB2312" w:hAnsi="仿宋_GB2312" w:eastAsia="仿宋_GB2312"/>
          <w:sz w:val="32"/>
          <w:szCs w:val="32"/>
          <w:highlight w:val="none"/>
        </w:rPr>
        <w:t>的规定</w:t>
      </w:r>
      <w:r>
        <w:rPr>
          <w:rFonts w:hint="eastAsia" w:ascii="仿宋_GB2312" w:hAnsi="仿宋" w:eastAsia="仿宋_GB2312"/>
          <w:sz w:val="32"/>
          <w:szCs w:val="32"/>
        </w:rPr>
        <w:t>，</w:t>
      </w:r>
      <w:r>
        <w:rPr>
          <w:rFonts w:hint="eastAsia" w:ascii="仿宋_GB2312" w:hAnsi="仿宋" w:eastAsia="仿宋_GB2312"/>
          <w:sz w:val="32"/>
          <w:szCs w:val="32"/>
          <w:lang w:eastAsia="zh-CN"/>
        </w:rPr>
        <w:t>决定</w:t>
      </w:r>
      <w:r>
        <w:rPr>
          <w:rFonts w:hint="eastAsia" w:ascii="仿宋_GB2312" w:hAnsi="仿宋" w:eastAsia="仿宋_GB2312"/>
          <w:sz w:val="32"/>
          <w:szCs w:val="32"/>
        </w:rPr>
        <w:t>对当事人作如下行政</w:t>
      </w:r>
      <w:r>
        <w:rPr>
          <w:rFonts w:hint="eastAsia" w:ascii="仿宋_GB2312" w:hAnsi="仿宋" w:eastAsia="仿宋_GB2312" w:cs="仿宋_GB2312"/>
          <w:kern w:val="0"/>
          <w:sz w:val="32"/>
          <w:szCs w:val="32"/>
          <w:lang w:val="en-US" w:eastAsia="zh-CN" w:bidi="ar"/>
        </w:rPr>
        <w:t>处罚</w:t>
      </w:r>
      <w:r>
        <w:rPr>
          <w:rFonts w:hint="eastAsia" w:ascii="仿宋_GB2312" w:hAnsi="仿宋" w:eastAsia="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val="en-US" w:eastAsia="zh-CN"/>
        </w:rPr>
        <w:t>1.</w:t>
      </w:r>
      <w:r>
        <w:rPr>
          <w:rFonts w:hint="eastAsia" w:ascii="仿宋_GB2312" w:hAnsi="仿宋_GB2312" w:eastAsia="仿宋_GB2312"/>
          <w:sz w:val="32"/>
          <w:szCs w:val="32"/>
          <w:highlight w:val="none"/>
        </w:rPr>
        <w:t>责令当事人立即改正未履行进货查验义务</w:t>
      </w:r>
      <w:r>
        <w:rPr>
          <w:rFonts w:hint="eastAsia" w:ascii="仿宋_GB2312" w:hAnsi="仿宋_GB2312" w:eastAsia="仿宋_GB2312"/>
          <w:sz w:val="32"/>
          <w:szCs w:val="32"/>
          <w:highlight w:val="none"/>
          <w:lang w:eastAsia="zh-CN"/>
        </w:rPr>
        <w:t>的行为，并</w:t>
      </w:r>
      <w:r>
        <w:rPr>
          <w:rFonts w:hint="eastAsia" w:ascii="仿宋_GB2312" w:hAnsi="仿宋_GB2312" w:eastAsia="仿宋_GB2312"/>
          <w:sz w:val="32"/>
          <w:szCs w:val="32"/>
          <w:highlight w:val="none"/>
        </w:rPr>
        <w:t>给予警告</w:t>
      </w:r>
      <w:r>
        <w:rPr>
          <w:rFonts w:hint="eastAsia" w:ascii="仿宋_GB2312" w:hAnsi="仿宋_GB2312"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196"/>
        <w:jc w:val="left"/>
        <w:textAlignment w:val="auto"/>
        <w:rPr>
          <w:rFonts w:hint="eastAsia" w:ascii="仿宋_GB2312" w:hAnsi="仿宋" w:eastAsia="仿宋_GB2312"/>
          <w:color w:val="FF0000"/>
          <w:sz w:val="32"/>
          <w:szCs w:val="32"/>
          <w:highlight w:val="red"/>
        </w:rPr>
      </w:pPr>
      <w:r>
        <w:rPr>
          <w:rFonts w:hint="eastAsia" w:ascii="仿宋_GB2312" w:hAnsi="仿宋_GB2312" w:eastAsia="仿宋_GB2312"/>
          <w:sz w:val="32"/>
          <w:szCs w:val="32"/>
          <w:highlight w:val="none"/>
          <w:lang w:val="en-US" w:eastAsia="zh-CN"/>
        </w:rPr>
        <w:t>2.</w:t>
      </w:r>
      <w:r>
        <w:rPr>
          <w:rFonts w:hint="eastAsia" w:ascii="仿宋_GB2312" w:hAnsi="仿宋_GB2312" w:eastAsia="仿宋_GB2312"/>
          <w:sz w:val="32"/>
          <w:szCs w:val="32"/>
          <w:highlight w:val="none"/>
        </w:rPr>
        <w:t>责令当事人立即改正销售不合格</w:t>
      </w:r>
      <w:r>
        <w:rPr>
          <w:rFonts w:hint="eastAsia" w:ascii="仿宋_GB2312" w:hAnsi="仿宋_GB2312" w:eastAsia="仿宋_GB2312"/>
          <w:sz w:val="32"/>
          <w:szCs w:val="32"/>
          <w:highlight w:val="none"/>
          <w:lang w:eastAsia="zh-CN"/>
        </w:rPr>
        <w:t>冰糖橙</w:t>
      </w:r>
      <w:r>
        <w:rPr>
          <w:rFonts w:hint="eastAsia" w:ascii="仿宋_GB2312" w:hAnsi="仿宋_GB2312" w:eastAsia="仿宋_GB2312"/>
          <w:sz w:val="32"/>
          <w:szCs w:val="32"/>
          <w:highlight w:val="none"/>
        </w:rPr>
        <w:t>的行为，并处罚款人民币</w:t>
      </w:r>
      <w:r>
        <w:rPr>
          <w:rFonts w:hint="eastAsia" w:ascii="仿宋_GB2312" w:hAnsi="仿宋_GB2312" w:eastAsia="仿宋_GB2312"/>
          <w:sz w:val="32"/>
          <w:szCs w:val="32"/>
          <w:highlight w:val="none"/>
          <w:lang w:val="en-US" w:eastAsia="zh-CN"/>
        </w:rPr>
        <w:t>6507.74</w:t>
      </w:r>
      <w:r>
        <w:rPr>
          <w:rFonts w:hint="eastAsia" w:ascii="仿宋_GB2312" w:hAnsi="仿宋_GB2312" w:eastAsia="仿宋_GB2312"/>
          <w:sz w:val="32"/>
          <w:szCs w:val="32"/>
          <w:highlight w:val="none"/>
        </w:rPr>
        <w:t>元，上缴国库。</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当事人应当自收到本处罚决定书之日起十五日内，凭“福建省非税收入缴款通知书”通过以下两种方式如数缴纳罚款：1.通过缴款通知书中指定的银行柜台、手银、网银等办理；2.通过微信或支付宝扫一扫“福建省非税收入收缴‘云缴费</w:t>
      </w:r>
      <w:r>
        <w:rPr>
          <w:rFonts w:hint="default" w:ascii="仿宋_GB2312" w:hAnsi="仿宋_GB2312" w:eastAsia="仿宋_GB2312"/>
          <w:spacing w:val="-3"/>
          <w:sz w:val="32"/>
          <w:szCs w:val="32"/>
          <w:highlight w:val="none"/>
          <w:lang w:val="en-US" w:eastAsia="zh-CN"/>
        </w:rPr>
        <w:t>’</w:t>
      </w:r>
      <w:r>
        <w:rPr>
          <w:rFonts w:hint="eastAsia" w:ascii="仿宋_GB2312" w:hAnsi="仿宋_GB2312" w:eastAsia="仿宋_GB2312"/>
          <w:spacing w:val="-3"/>
          <w:sz w:val="32"/>
          <w:szCs w:val="32"/>
          <w:highlight w:val="none"/>
        </w:rPr>
        <w:t>二维码”进行缴费。到期不缴纳罚款的，依据《中华人民共和国行政处罚法》第</w:t>
      </w:r>
      <w:r>
        <w:rPr>
          <w:rFonts w:hint="eastAsia" w:ascii="仿宋_GB2312" w:hAnsi="仿宋_GB2312" w:eastAsia="仿宋_GB2312"/>
          <w:spacing w:val="-3"/>
          <w:sz w:val="32"/>
          <w:szCs w:val="32"/>
          <w:highlight w:val="none"/>
          <w:lang w:eastAsia="zh-CN"/>
        </w:rPr>
        <w:t>七十二</w:t>
      </w:r>
      <w:r>
        <w:rPr>
          <w:rFonts w:hint="eastAsia" w:ascii="仿宋_GB2312" w:hAnsi="仿宋_GB2312" w:eastAsia="仿宋_GB2312"/>
          <w:spacing w:val="-3"/>
          <w:sz w:val="32"/>
          <w:szCs w:val="32"/>
          <w:highlight w:val="none"/>
        </w:rPr>
        <w:t>条第（一）项的规定，每日按罚款数额的百分之三加处罚款。</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如对以上行政处罚不服的，可在接到本决定书之日起六十日内，向</w:t>
      </w:r>
      <w:r>
        <w:rPr>
          <w:rFonts w:hint="eastAsia" w:ascii="仿宋_GB2312" w:hAnsi="仿宋_GB2312" w:eastAsia="仿宋_GB2312"/>
          <w:spacing w:val="-3"/>
          <w:sz w:val="32"/>
          <w:szCs w:val="32"/>
          <w:highlight w:val="none"/>
          <w:lang w:eastAsia="zh-CN"/>
        </w:rPr>
        <w:t>涵江区</w:t>
      </w:r>
      <w:r>
        <w:rPr>
          <w:rFonts w:hint="eastAsia" w:ascii="仿宋_GB2312" w:hAnsi="仿宋_GB2312" w:eastAsia="仿宋_GB2312"/>
          <w:spacing w:val="-3"/>
          <w:sz w:val="32"/>
          <w:szCs w:val="32"/>
          <w:highlight w:val="none"/>
        </w:rPr>
        <w:t>人民政府申请复议或在六个月内向莆田市</w:t>
      </w:r>
      <w:r>
        <w:rPr>
          <w:rFonts w:hint="eastAsia" w:ascii="仿宋_GB2312" w:hAnsi="仿宋_GB2312" w:eastAsia="仿宋_GB2312"/>
          <w:spacing w:val="-3"/>
          <w:sz w:val="32"/>
          <w:szCs w:val="32"/>
          <w:highlight w:val="none"/>
          <w:lang w:eastAsia="zh-CN"/>
        </w:rPr>
        <w:t>城厢区</w:t>
      </w:r>
      <w:r>
        <w:rPr>
          <w:rFonts w:hint="eastAsia" w:ascii="仿宋_GB2312" w:hAnsi="仿宋_GB2312" w:eastAsia="仿宋_GB2312"/>
          <w:spacing w:val="-3"/>
          <w:sz w:val="32"/>
          <w:szCs w:val="32"/>
          <w:highlight w:val="none"/>
        </w:rPr>
        <w:t>人民法院起诉；逾期不申请复议、不起诉又不履行的，本机关将申请人民法院强制执行。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附：“云缴费”二维码</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outlineLvl w:val="9"/>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w:t>
      </w:r>
    </w:p>
    <w:p>
      <w:pPr>
        <w:keepNext w:val="0"/>
        <w:keepLines w:val="0"/>
        <w:pageBreakBefore w:val="0"/>
        <w:widowControl w:val="0"/>
        <w:kinsoku/>
        <w:overflowPunct/>
        <w:topLinePunct w:val="0"/>
        <w:autoSpaceDE/>
        <w:autoSpaceDN/>
        <w:bidi w:val="0"/>
        <w:spacing w:line="560" w:lineRule="exact"/>
        <w:ind w:firstLine="640" w:firstLineChars="200"/>
        <w:outlineLvl w:val="9"/>
        <w:rPr>
          <w:rFonts w:hint="eastAsia" w:ascii="仿宋_GB2312" w:eastAsia="仿宋_GB2312"/>
          <w:sz w:val="32"/>
          <w:szCs w:val="32"/>
          <w:highlight w:val="none"/>
        </w:rPr>
      </w:pPr>
    </w:p>
    <w:p>
      <w:pPr>
        <w:keepNext w:val="0"/>
        <w:keepLines w:val="0"/>
        <w:pageBreakBefore w:val="0"/>
        <w:widowControl w:val="0"/>
        <w:kinsoku/>
        <w:overflowPunct/>
        <w:topLinePunct w:val="0"/>
        <w:autoSpaceDE/>
        <w:autoSpaceDN/>
        <w:bidi w:val="0"/>
        <w:spacing w:line="560" w:lineRule="exact"/>
        <w:outlineLvl w:val="9"/>
        <w:rPr>
          <w:rFonts w:hint="eastAsia" w:ascii="仿宋_GB2312" w:eastAsia="仿宋_GB2312"/>
          <w:sz w:val="32"/>
          <w:szCs w:val="32"/>
          <w:highlight w:val="none"/>
        </w:rPr>
      </w:pPr>
      <w:r>
        <w:rPr>
          <w:rFonts w:hint="eastAsia" w:ascii="仿宋_GB2312" w:hAnsi="仿宋_GB2312" w:eastAsia="仿宋_GB2312" w:cs="仿宋_GB2312"/>
          <w:spacing w:val="-3"/>
          <w:sz w:val="32"/>
          <w:szCs w:val="32"/>
          <w:highlight w:val="none"/>
          <w:lang w:eastAsia="zh-CN"/>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-960120</wp:posOffset>
            </wp:positionV>
            <wp:extent cx="1887855" cy="2672715"/>
            <wp:effectExtent l="0" t="0" r="1905" b="9525"/>
            <wp:wrapSquare wrapText="bothSides"/>
            <wp:docPr id="4" name="图片 7" descr="9702658a80015925c07d31c1c0e38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9702658a80015925c07d31c1c0e389f"/>
                    <pic:cNvPicPr>
                      <a:picLocks noChangeAspect="1"/>
                    </pic:cNvPicPr>
                  </pic:nvPicPr>
                  <pic:blipFill>
                    <a:blip r:embed="rId7"/>
                    <a:stretch>
                      <a:fillRect/>
                    </a:stretch>
                  </pic:blipFill>
                  <pic:spPr>
                    <a:xfrm>
                      <a:off x="0" y="0"/>
                      <a:ext cx="1887855" cy="2672715"/>
                    </a:xfrm>
                    <a:prstGeom prst="rect">
                      <a:avLst/>
                    </a:prstGeom>
                    <a:noFill/>
                    <a:ln w="9525">
                      <a:noFill/>
                    </a:ln>
                  </pic:spPr>
                </pic:pic>
              </a:graphicData>
            </a:graphic>
          </wp:anchor>
        </w:drawing>
      </w:r>
    </w:p>
    <w:p>
      <w:pPr>
        <w:keepNext w:val="0"/>
        <w:keepLines w:val="0"/>
        <w:pageBreakBefore w:val="0"/>
        <w:widowControl w:val="0"/>
        <w:kinsoku/>
        <w:overflowPunct/>
        <w:topLinePunct w:val="0"/>
        <w:autoSpaceDE/>
        <w:autoSpaceDN/>
        <w:bidi w:val="0"/>
        <w:spacing w:line="560" w:lineRule="exact"/>
        <w:outlineLvl w:val="9"/>
        <w:rPr>
          <w:rFonts w:hint="eastAsia" w:ascii="仿宋_GB2312" w:eastAsia="仿宋_GB2312"/>
          <w:sz w:val="32"/>
          <w:szCs w:val="32"/>
          <w:highlight w:val="none"/>
        </w:rPr>
      </w:pPr>
    </w:p>
    <w:p>
      <w:pPr>
        <w:keepNext w:val="0"/>
        <w:keepLines w:val="0"/>
        <w:pageBreakBefore w:val="0"/>
        <w:widowControl w:val="0"/>
        <w:tabs>
          <w:tab w:val="left" w:pos="8374"/>
        </w:tabs>
        <w:kinsoku/>
        <w:overflowPunct/>
        <w:topLinePunct w:val="0"/>
        <w:autoSpaceDE/>
        <w:autoSpaceDN/>
        <w:bidi w:val="0"/>
        <w:spacing w:line="560" w:lineRule="exact"/>
        <w:ind w:right="785" w:rightChars="374"/>
        <w:outlineLvl w:val="9"/>
        <w:rPr>
          <w:rFonts w:hint="eastAsia" w:ascii="仿宋_GB2312" w:eastAsia="仿宋_GB2312"/>
          <w:sz w:val="32"/>
          <w:szCs w:val="32"/>
          <w:highlight w:val="none"/>
        </w:rPr>
      </w:pPr>
      <w:r>
        <w:rPr>
          <w:rFonts w:hint="eastAsia" w:ascii="仿宋_GB2312" w:eastAsia="仿宋_GB2312"/>
          <w:sz w:val="32"/>
          <w:szCs w:val="32"/>
          <w:highlight w:val="none"/>
        </w:rPr>
        <w:t xml:space="preserve">                     </w:t>
      </w:r>
    </w:p>
    <w:p>
      <w:pPr>
        <w:keepNext w:val="0"/>
        <w:keepLines w:val="0"/>
        <w:pageBreakBefore w:val="0"/>
        <w:widowControl w:val="0"/>
        <w:tabs>
          <w:tab w:val="left" w:pos="8374"/>
        </w:tabs>
        <w:kinsoku/>
        <w:overflowPunct/>
        <w:topLinePunct w:val="0"/>
        <w:autoSpaceDE/>
        <w:autoSpaceDN/>
        <w:bidi w:val="0"/>
        <w:spacing w:line="560" w:lineRule="exact"/>
        <w:ind w:right="785" w:rightChars="374" w:firstLine="3840" w:firstLineChars="1200"/>
        <w:outlineLvl w:val="9"/>
        <w:rPr>
          <w:rFonts w:hint="eastAsia" w:ascii="仿宋_GB2312" w:eastAsia="仿宋_GB2312"/>
          <w:sz w:val="32"/>
          <w:szCs w:val="32"/>
          <w:highlight w:val="none"/>
        </w:rPr>
      </w:pPr>
    </w:p>
    <w:p>
      <w:pPr>
        <w:keepNext w:val="0"/>
        <w:keepLines w:val="0"/>
        <w:pageBreakBefore w:val="0"/>
        <w:widowControl w:val="0"/>
        <w:tabs>
          <w:tab w:val="left" w:pos="8374"/>
        </w:tabs>
        <w:kinsoku/>
        <w:overflowPunct/>
        <w:topLinePunct w:val="0"/>
        <w:autoSpaceDE/>
        <w:autoSpaceDN/>
        <w:bidi w:val="0"/>
        <w:spacing w:line="560" w:lineRule="exact"/>
        <w:ind w:right="785" w:rightChars="374" w:firstLine="3840" w:firstLineChars="1200"/>
        <w:outlineLvl w:val="9"/>
        <w:rPr>
          <w:rFonts w:hint="eastAsia" w:ascii="仿宋_GB2312" w:eastAsia="仿宋_GB2312"/>
          <w:sz w:val="32"/>
          <w:szCs w:val="32"/>
          <w:highlight w:val="none"/>
        </w:rPr>
      </w:pPr>
    </w:p>
    <w:p>
      <w:pPr>
        <w:keepNext w:val="0"/>
        <w:keepLines w:val="0"/>
        <w:pageBreakBefore w:val="0"/>
        <w:widowControl w:val="0"/>
        <w:tabs>
          <w:tab w:val="left" w:pos="8374"/>
        </w:tabs>
        <w:kinsoku/>
        <w:overflowPunct/>
        <w:topLinePunct w:val="0"/>
        <w:autoSpaceDE/>
        <w:autoSpaceDN/>
        <w:bidi w:val="0"/>
        <w:spacing w:line="560" w:lineRule="exact"/>
        <w:ind w:right="785" w:rightChars="374" w:firstLine="3840" w:firstLineChars="1200"/>
        <w:outlineLvl w:val="9"/>
        <w:rPr>
          <w:rFonts w:hint="eastAsia" w:ascii="仿宋_GB2312" w:eastAsia="仿宋_GB2312"/>
          <w:sz w:val="32"/>
          <w:szCs w:val="32"/>
          <w:highlight w:val="none"/>
        </w:rPr>
      </w:pPr>
    </w:p>
    <w:p>
      <w:pPr>
        <w:keepNext w:val="0"/>
        <w:keepLines w:val="0"/>
        <w:pageBreakBefore w:val="0"/>
        <w:widowControl w:val="0"/>
        <w:tabs>
          <w:tab w:val="left" w:pos="8374"/>
        </w:tabs>
        <w:kinsoku/>
        <w:overflowPunct/>
        <w:topLinePunct w:val="0"/>
        <w:autoSpaceDE/>
        <w:autoSpaceDN/>
        <w:bidi w:val="0"/>
        <w:spacing w:line="560" w:lineRule="exact"/>
        <w:ind w:right="785" w:rightChars="374" w:firstLine="3840" w:firstLineChars="1200"/>
        <w:outlineLvl w:val="9"/>
        <w:rPr>
          <w:rFonts w:hint="eastAsia" w:ascii="仿宋_GB2312" w:eastAsia="仿宋_GB2312"/>
          <w:sz w:val="32"/>
          <w:szCs w:val="32"/>
          <w:highlight w:val="none"/>
        </w:rPr>
      </w:pPr>
    </w:p>
    <w:p>
      <w:pPr>
        <w:keepNext w:val="0"/>
        <w:keepLines w:val="0"/>
        <w:pageBreakBefore w:val="0"/>
        <w:widowControl w:val="0"/>
        <w:tabs>
          <w:tab w:val="left" w:pos="8374"/>
        </w:tabs>
        <w:kinsoku/>
        <w:overflowPunct/>
        <w:topLinePunct w:val="0"/>
        <w:autoSpaceDE/>
        <w:autoSpaceDN/>
        <w:bidi w:val="0"/>
        <w:spacing w:line="560" w:lineRule="exact"/>
        <w:ind w:right="785" w:rightChars="374" w:firstLine="3840" w:firstLineChars="1200"/>
        <w:outlineLvl w:val="9"/>
        <w:rPr>
          <w:rFonts w:hint="eastAsia" w:ascii="仿宋_GB2312" w:hAnsi="仿宋_GB2312" w:eastAsia="仿宋_GB2312"/>
          <w:spacing w:val="-3"/>
          <w:sz w:val="32"/>
          <w:szCs w:val="32"/>
          <w:highlight w:val="none"/>
        </w:rPr>
      </w:pPr>
      <w:r>
        <w:rPr>
          <w:rFonts w:hint="eastAsia" w:ascii="仿宋_GB2312" w:eastAsia="仿宋_GB2312"/>
          <w:sz w:val="32"/>
          <w:szCs w:val="32"/>
          <w:highlight w:val="none"/>
        </w:rPr>
        <w:t>莆田市</w:t>
      </w:r>
      <w:r>
        <w:rPr>
          <w:rFonts w:hint="eastAsia" w:ascii="仿宋_GB2312" w:eastAsia="仿宋_GB2312"/>
          <w:sz w:val="32"/>
          <w:szCs w:val="32"/>
          <w:highlight w:val="none"/>
          <w:lang w:eastAsia="zh-CN"/>
        </w:rPr>
        <w:t>涵江区</w:t>
      </w:r>
      <w:r>
        <w:rPr>
          <w:rFonts w:hint="eastAsia" w:ascii="仿宋_GB2312" w:eastAsia="仿宋_GB2312"/>
          <w:sz w:val="32"/>
          <w:szCs w:val="32"/>
          <w:highlight w:val="none"/>
        </w:rPr>
        <w:t>市场监督管理局</w:t>
      </w:r>
    </w:p>
    <w:p>
      <w:pPr>
        <w:keepNext w:val="0"/>
        <w:keepLines w:val="0"/>
        <w:pageBreakBefore w:val="0"/>
        <w:widowControl w:val="0"/>
        <w:tabs>
          <w:tab w:val="left" w:pos="8058"/>
        </w:tabs>
        <w:kinsoku/>
        <w:overflowPunct/>
        <w:topLinePunct w:val="0"/>
        <w:autoSpaceDE/>
        <w:autoSpaceDN/>
        <w:bidi w:val="0"/>
        <w:spacing w:line="560" w:lineRule="exact"/>
        <w:ind w:right="785" w:rightChars="374"/>
        <w:jc w:val="center"/>
        <w:outlineLvl w:val="9"/>
        <w:rPr>
          <w:rFonts w:hint="eastAsia" w:ascii="仿宋_GB2312" w:hAnsi="仿宋_GB2312" w:eastAsia="仿宋_GB2312" w:cs="仿宋_GB2312"/>
          <w:spacing w:val="-3"/>
          <w:sz w:val="32"/>
          <w:szCs w:val="32"/>
          <w:highlight w:val="none"/>
        </w:rPr>
      </w:pPr>
      <w:r>
        <w:rPr>
          <w:rFonts w:hint="eastAsia" w:ascii="仿宋_GB2312" w:hAnsi="仿宋_GB2312" w:eastAsia="仿宋_GB2312"/>
          <w:spacing w:val="-3"/>
          <w:sz w:val="32"/>
          <w:szCs w:val="32"/>
          <w:highlight w:val="none"/>
        </w:rPr>
        <w:t xml:space="preserve">                               </w:t>
      </w:r>
      <w:r>
        <w:rPr>
          <w:rFonts w:hint="eastAsia" w:ascii="仿宋_GB2312" w:hAnsi="仿宋_GB2312" w:eastAsia="仿宋_GB2312"/>
          <w:spacing w:val="-3"/>
          <w:sz w:val="32"/>
          <w:szCs w:val="32"/>
          <w:highlight w:val="none"/>
          <w:lang w:val="en-US" w:eastAsia="zh-CN"/>
        </w:rPr>
        <w:t>2025</w:t>
      </w:r>
      <w:r>
        <w:rPr>
          <w:rFonts w:hint="eastAsia" w:ascii="仿宋_GB2312" w:hAnsi="仿宋_GB2312" w:eastAsia="仿宋_GB2312" w:cs="仿宋_GB2312"/>
          <w:spacing w:val="-3"/>
          <w:sz w:val="32"/>
          <w:szCs w:val="32"/>
          <w:highlight w:val="none"/>
        </w:rPr>
        <w:t>年</w:t>
      </w:r>
      <w:r>
        <w:rPr>
          <w:rFonts w:hint="eastAsia" w:ascii="仿宋_GB2312" w:hAnsi="仿宋_GB2312" w:eastAsia="仿宋_GB2312" w:cs="仿宋_GB2312"/>
          <w:spacing w:val="-3"/>
          <w:sz w:val="32"/>
          <w:szCs w:val="32"/>
          <w:highlight w:val="none"/>
          <w:lang w:val="en-US" w:eastAsia="zh-CN"/>
        </w:rPr>
        <w:t>10</w:t>
      </w:r>
      <w:r>
        <w:rPr>
          <w:rFonts w:hint="eastAsia" w:ascii="仿宋_GB2312" w:hAnsi="仿宋_GB2312" w:eastAsia="仿宋_GB2312" w:cs="仿宋_GB2312"/>
          <w:spacing w:val="-3"/>
          <w:sz w:val="32"/>
          <w:szCs w:val="32"/>
          <w:highlight w:val="none"/>
        </w:rPr>
        <w:t>月</w:t>
      </w:r>
      <w:r>
        <w:rPr>
          <w:rFonts w:hint="eastAsia" w:ascii="仿宋_GB2312" w:hAnsi="仿宋_GB2312" w:eastAsia="仿宋_GB2312" w:cs="仿宋_GB2312"/>
          <w:spacing w:val="-3"/>
          <w:sz w:val="32"/>
          <w:szCs w:val="32"/>
          <w:highlight w:val="none"/>
          <w:lang w:val="en-US" w:eastAsia="zh-CN"/>
        </w:rPr>
        <w:t>17</w:t>
      </w:r>
      <w:r>
        <w:rPr>
          <w:rFonts w:hint="eastAsia" w:ascii="仿宋_GB2312" w:hAnsi="仿宋_GB2312" w:eastAsia="仿宋_GB2312" w:cs="仿宋_GB2312"/>
          <w:spacing w:val="-3"/>
          <w:sz w:val="32"/>
          <w:szCs w:val="32"/>
          <w:highlight w:val="none"/>
        </w:rPr>
        <w:t>日</w:t>
      </w:r>
    </w:p>
    <w:p>
      <w:pPr>
        <w:keepNext w:val="0"/>
        <w:keepLines w:val="0"/>
        <w:pageBreakBefore w:val="0"/>
        <w:widowControl w:val="0"/>
        <w:tabs>
          <w:tab w:val="left" w:pos="8058"/>
        </w:tabs>
        <w:kinsoku/>
        <w:overflowPunct/>
        <w:topLinePunct w:val="0"/>
        <w:autoSpaceDE/>
        <w:autoSpaceDN/>
        <w:bidi w:val="0"/>
        <w:spacing w:line="560" w:lineRule="exact"/>
        <w:ind w:right="785" w:rightChars="374"/>
        <w:jc w:val="center"/>
        <w:outlineLvl w:val="9"/>
        <w:rPr>
          <w:rFonts w:hint="eastAsia" w:ascii="仿宋_GB2312" w:hAnsi="仿宋_GB2312" w:eastAsia="仿宋_GB2312" w:cs="仿宋_GB2312"/>
          <w:spacing w:val="-3"/>
          <w:sz w:val="32"/>
          <w:szCs w:val="32"/>
          <w:highlight w:val="none"/>
        </w:rPr>
      </w:pPr>
    </w:p>
    <w:p>
      <w:pPr>
        <w:keepNext w:val="0"/>
        <w:keepLines w:val="0"/>
        <w:pageBreakBefore w:val="0"/>
        <w:widowControl w:val="0"/>
        <w:tabs>
          <w:tab w:val="left" w:pos="8058"/>
        </w:tabs>
        <w:kinsoku/>
        <w:overflowPunct/>
        <w:topLinePunct w:val="0"/>
        <w:autoSpaceDE/>
        <w:autoSpaceDN/>
        <w:bidi w:val="0"/>
        <w:spacing w:line="560" w:lineRule="exact"/>
        <w:ind w:right="785" w:rightChars="374"/>
        <w:jc w:val="both"/>
        <w:outlineLvl w:val="9"/>
        <w:rPr>
          <w:rFonts w:hint="eastAsia" w:ascii="仿宋_GB2312" w:hAnsi="仿宋_GB2312" w:eastAsia="仿宋_GB2312" w:cs="仿宋_GB2312"/>
          <w:spacing w:val="-3"/>
          <w:sz w:val="32"/>
          <w:szCs w:val="32"/>
          <w:highlight w:val="none"/>
        </w:rPr>
      </w:pPr>
    </w:p>
    <w:p>
      <w:pPr>
        <w:keepNext w:val="0"/>
        <w:keepLines w:val="0"/>
        <w:pageBreakBefore w:val="0"/>
        <w:widowControl w:val="0"/>
        <w:kinsoku/>
        <w:overflowPunct/>
        <w:topLinePunct w:val="0"/>
        <w:autoSpaceDE/>
        <w:autoSpaceDN/>
        <w:bidi w:val="0"/>
        <w:snapToGrid w:val="0"/>
        <w:spacing w:line="560" w:lineRule="exact"/>
        <w:outlineLvl w:val="9"/>
        <w:rPr>
          <w:rFonts w:hint="eastAsia" w:ascii="仿宋_GB2312" w:hAnsi="黑体" w:eastAsia="仿宋_GB2312"/>
          <w:sz w:val="32"/>
          <w:szCs w:val="32"/>
          <w:highlight w:val="none"/>
        </w:rPr>
      </w:pPr>
      <w:r>
        <w:rPr>
          <w:rFonts w:hint="eastAsia" w:ascii="仿宋_GB2312" w:hAnsi="黑体" w:eastAsia="仿宋_GB2312" w:cs="黑体"/>
          <w:sz w:val="32"/>
          <w:szCs w:val="32"/>
          <w:highlight w:val="none"/>
        </w:rPr>
        <w:t>（市场监督管理部门将依法向社会公示本行政处罚决定信息）</w:t>
      </w:r>
    </w:p>
    <w:p>
      <w:pPr>
        <w:keepNext w:val="0"/>
        <w:keepLines w:val="0"/>
        <w:pageBreakBefore w:val="0"/>
        <w:widowControl w:val="0"/>
        <w:kinsoku/>
        <w:overflowPunct/>
        <w:topLinePunct w:val="0"/>
        <w:autoSpaceDE/>
        <w:autoSpaceDN/>
        <w:bidi w:val="0"/>
        <w:spacing w:line="560" w:lineRule="exact"/>
        <w:outlineLvl w:val="9"/>
        <w:rPr>
          <w:rFonts w:hint="eastAsia" w:ascii="仿宋_GB2312" w:eastAsia="仿宋_GB2312"/>
          <w:sz w:val="32"/>
          <w:szCs w:val="32"/>
          <w:highlight w:val="none"/>
        </w:rPr>
      </w:pPr>
      <w:r>
        <w:rPr>
          <w:rFonts w:hint="eastAsia" w:ascii="仿宋_GB2312" w:eastAsia="仿宋_GB2312"/>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2" name="直线 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2.3pt;margin-top:13.55pt;height:0.05pt;width:437.05pt;z-index:251660288;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&#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h0Z9dUAAAAHAQAADwAAAAAAAAABACAAAAAiAAAAZHJz&#10;L2Rvd25yZXYueG1sUEsBAhQAFAAAAAgAh07iQOECfN7OAQAAkAMAAA4AAAAAAAAAAQAgAAAAJAEA&#10;AGRycy9lMm9Eb2MueG1sUEsFBgAAAAAGAAYAWQEAAGQFAAAAAA==&#10;">
                <v:fill on="f" focussize="0,0"/>
                <v:stroke weight="1.25pt" color="#000000" joinstyle="round"/>
                <v:imagedata o:title=""/>
                <o:lock v:ext="edit" aspectratio="f"/>
              </v:line>
            </w:pict>
          </mc:Fallback>
        </mc:AlternateContent>
      </w:r>
    </w:p>
    <w:p>
      <w:pPr>
        <w:keepNext w:val="0"/>
        <w:keepLines w:val="0"/>
        <w:pageBreakBefore w:val="0"/>
        <w:widowControl w:val="0"/>
        <w:tabs>
          <w:tab w:val="left" w:pos="8848"/>
        </w:tabs>
        <w:kinsoku/>
        <w:overflowPunct/>
        <w:topLinePunct w:val="0"/>
        <w:autoSpaceDE/>
        <w:autoSpaceDN/>
        <w:bidi w:val="0"/>
        <w:spacing w:line="560" w:lineRule="exact"/>
        <w:ind w:right="-2" w:rightChars="-1"/>
        <w:jc w:val="right"/>
        <w:outlineLvl w:val="9"/>
        <w:rPr>
          <w:rFonts w:hint="eastAsia" w:ascii="仿宋_GB2312" w:eastAsia="仿宋_GB2312" w:cs="仿宋_GB2312"/>
          <w:sz w:val="32"/>
          <w:szCs w:val="32"/>
          <w:highlight w:val="none"/>
        </w:rPr>
      </w:pPr>
      <w:r>
        <w:rPr>
          <w:rFonts w:hint="eastAsia" w:ascii="仿宋_GB2312" w:eastAsia="仿宋_GB2312"/>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 name="直线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vv85HXAAAACgEAAA8AAAAAAAAAAQAgAAAA&#10;IgAAAGRycy9kb3ducmV2LnhtbFBLAQIUABQAAAAIAIdO4kAbZOmH0wEAAI4DAAAOAAAAAAAAAAEA&#10;IAAAACYBAABkcnMvZTJvRG9jLnhtbFBLBQYAAAAABgAGAFkBAABrBQAAAAA=&#10;">
                <v:fill on="f" focussize="0,0"/>
                <v:stroke weight="0.737007874015748pt" color="#000000" joinstyle="round" endcap="square"/>
                <v:imagedata o:title=""/>
                <o:lock v:ext="edit" aspectratio="f"/>
              </v:line>
            </w:pict>
          </mc:Fallback>
        </mc:AlternateContent>
      </w:r>
      <w:r>
        <w:rPr>
          <w:rFonts w:hint="eastAsia" w:ascii="仿宋_GB2312" w:eastAsia="仿宋_GB2312" w:cs="仿宋_GB2312"/>
          <w:sz w:val="32"/>
          <w:szCs w:val="32"/>
          <w:highlight w:val="none"/>
        </w:rPr>
        <w:t>本文书一式四份，二份送达，一份归档，一份交财务部门留存。</w:t>
      </w:r>
    </w:p>
    <w:p>
      <w:pPr>
        <w:keepNext w:val="0"/>
        <w:keepLines w:val="0"/>
        <w:pageBreakBefore w:val="0"/>
        <w:widowControl w:val="0"/>
        <w:kinsoku/>
        <w:overflowPunct/>
        <w:topLinePunct w:val="0"/>
        <w:autoSpaceDE/>
        <w:autoSpaceDN/>
        <w:bidi w:val="0"/>
        <w:spacing w:line="560" w:lineRule="exact"/>
        <w:outlineLvl w:val="9"/>
        <w:rPr>
          <w:rFonts w:hint="eastAsia" w:ascii="仿宋_GB2312" w:hAnsi="仿宋_GB2312" w:eastAsia="仿宋_GB2312"/>
          <w:spacing w:val="-3"/>
          <w:sz w:val="32"/>
          <w:szCs w:val="32"/>
          <w:highlight w:val="none"/>
        </w:rPr>
        <w:sectPr>
          <w:footerReference r:id="rId3" w:type="default"/>
          <w:pgSz w:w="11906" w:h="16838"/>
          <w:pgMar w:top="2098" w:right="1474" w:bottom="1985" w:left="1587" w:header="851" w:footer="1418" w:gutter="0"/>
          <w:cols w:space="720" w:num="1"/>
          <w:docGrid w:type="lines" w:linePitch="579" w:charSpace="0"/>
        </w:sectPr>
      </w:pPr>
    </w:p>
    <w:p>
      <w:pPr>
        <w:keepNext w:val="0"/>
        <w:keepLines w:val="0"/>
        <w:pageBreakBefore w:val="0"/>
        <w:widowControl w:val="0"/>
        <w:kinsoku/>
        <w:overflowPunct/>
        <w:topLinePunct w:val="0"/>
        <w:autoSpaceDE/>
        <w:autoSpaceDN/>
        <w:bidi w:val="0"/>
        <w:spacing w:line="560" w:lineRule="exact"/>
        <w:outlineLvl w:val="9"/>
        <w:rPr>
          <w:rFonts w:hint="eastAsia" w:ascii="仿宋_GB2312" w:hAnsi="仿宋_GB2312" w:eastAsia="仿宋_GB2312"/>
          <w:spacing w:val="-3"/>
          <w:sz w:val="32"/>
          <w:szCs w:val="32"/>
          <w:highlight w:val="none"/>
        </w:rPr>
        <w:sectPr>
          <w:headerReference r:id="rId4" w:type="default"/>
          <w:footerReference r:id="rId5" w:type="default"/>
          <w:type w:val="continuous"/>
          <w:pgSz w:w="11906" w:h="16838"/>
          <w:pgMar w:top="1440" w:right="1418" w:bottom="1440" w:left="1588" w:header="851" w:footer="992" w:gutter="0"/>
          <w:cols w:space="720" w:num="1"/>
          <w:docGrid w:type="lines" w:linePitch="312" w:charSpace="0"/>
        </w:sectPr>
      </w:pPr>
    </w:p>
    <w:p>
      <w:pPr>
        <w:keepNext w:val="0"/>
        <w:keepLines w:val="0"/>
        <w:pageBreakBefore w:val="0"/>
        <w:widowControl w:val="0"/>
        <w:kinsoku/>
        <w:overflowPunct/>
        <w:topLinePunct w:val="0"/>
        <w:autoSpaceDE/>
        <w:autoSpaceDN/>
        <w:bidi w:val="0"/>
        <w:spacing w:line="560" w:lineRule="exact"/>
        <w:outlineLvl w:val="9"/>
        <w:rPr>
          <w:rFonts w:hint="eastAsia" w:ascii="仿宋_GB2312" w:hAnsi="仿宋_GB2312" w:eastAsia="仿宋_GB2312"/>
          <w:spacing w:val="-3"/>
          <w:sz w:val="32"/>
          <w:szCs w:val="32"/>
          <w:highlight w:val="none"/>
        </w:rPr>
      </w:pPr>
      <w:r>
        <w:rPr>
          <w:rFonts w:hint="eastAsia" w:ascii="仿宋_GB2312" w:hAnsi="仿宋_GB2312" w:eastAsia="仿宋_GB2312"/>
          <w:spacing w:val="-3"/>
          <w:sz w:val="32"/>
          <w:szCs w:val="32"/>
          <w:highlight w:val="none"/>
        </w:rPr>
        <w:t>附页：本处罚决定书引用法条内容。</w:t>
      </w:r>
    </w:p>
    <w:p>
      <w:pPr>
        <w:keepNext w:val="0"/>
        <w:keepLines w:val="0"/>
        <w:pageBreakBefore w:val="0"/>
        <w:widowControl w:val="0"/>
        <w:kinsoku/>
        <w:wordWrap/>
        <w:overflowPunct/>
        <w:topLinePunct w:val="0"/>
        <w:autoSpaceDE/>
        <w:autoSpaceDN/>
        <w:bidi w:val="0"/>
        <w:adjustRightInd/>
        <w:spacing w:line="550" w:lineRule="exact"/>
        <w:ind w:firstLine="643" w:firstLineChars="200"/>
        <w:textAlignment w:val="auto"/>
        <w:outlineLvl w:val="9"/>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《中华人民共和国行政处罚法》第二十</w:t>
      </w:r>
      <w:r>
        <w:rPr>
          <w:rFonts w:hint="eastAsia" w:ascii="仿宋_GB2312" w:hAnsi="仿宋" w:eastAsia="仿宋_GB2312"/>
          <w:b/>
          <w:sz w:val="32"/>
          <w:szCs w:val="32"/>
          <w:highlight w:val="none"/>
          <w:lang w:eastAsia="zh-CN"/>
        </w:rPr>
        <w:t>八</w:t>
      </w:r>
      <w:r>
        <w:rPr>
          <w:rFonts w:hint="eastAsia" w:ascii="仿宋_GB2312" w:hAnsi="仿宋" w:eastAsia="仿宋_GB2312"/>
          <w:b/>
          <w:sz w:val="32"/>
          <w:szCs w:val="32"/>
          <w:highlight w:val="none"/>
        </w:rPr>
        <w:t>条：</w:t>
      </w:r>
    </w:p>
    <w:p>
      <w:pPr>
        <w:keepNext w:val="0"/>
        <w:keepLines w:val="0"/>
        <w:pageBreakBefore w:val="0"/>
        <w:widowControl w:val="0"/>
        <w:kinsoku/>
        <w:wordWrap/>
        <w:overflowPunct/>
        <w:topLinePunct w:val="0"/>
        <w:autoSpaceDE/>
        <w:autoSpaceDN/>
        <w:bidi w:val="0"/>
        <w:adjustRightInd/>
        <w:spacing w:line="55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行政机关实施行政处罚时，应当责令当事人改正或者限期改正违法行为。</w:t>
      </w:r>
    </w:p>
    <w:p>
      <w:pPr>
        <w:keepNext w:val="0"/>
        <w:keepLines w:val="0"/>
        <w:pageBreakBefore w:val="0"/>
        <w:widowControl w:val="0"/>
        <w:kinsoku/>
        <w:wordWrap/>
        <w:overflowPunct/>
        <w:topLinePunct w:val="0"/>
        <w:autoSpaceDE/>
        <w:autoSpaceDN/>
        <w:bidi w:val="0"/>
        <w:adjustRightInd/>
        <w:spacing w:line="550" w:lineRule="exact"/>
        <w:ind w:firstLine="643" w:firstLineChars="200"/>
        <w:textAlignment w:val="auto"/>
        <w:outlineLvl w:val="9"/>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《中华人民共和国行政处罚法》第</w:t>
      </w:r>
      <w:r>
        <w:rPr>
          <w:rFonts w:hint="eastAsia" w:ascii="仿宋_GB2312" w:hAnsi="仿宋" w:eastAsia="仿宋_GB2312"/>
          <w:b/>
          <w:sz w:val="32"/>
          <w:szCs w:val="32"/>
          <w:highlight w:val="none"/>
          <w:lang w:eastAsia="zh-CN"/>
        </w:rPr>
        <w:t>三</w:t>
      </w:r>
      <w:r>
        <w:rPr>
          <w:rFonts w:hint="eastAsia" w:ascii="仿宋_GB2312" w:hAnsi="仿宋" w:eastAsia="仿宋_GB2312"/>
          <w:b/>
          <w:sz w:val="32"/>
          <w:szCs w:val="32"/>
          <w:highlight w:val="none"/>
        </w:rPr>
        <w:t>十</w:t>
      </w:r>
      <w:r>
        <w:rPr>
          <w:rFonts w:hint="eastAsia" w:ascii="仿宋_GB2312" w:hAnsi="仿宋" w:eastAsia="仿宋_GB2312"/>
          <w:b/>
          <w:sz w:val="32"/>
          <w:szCs w:val="32"/>
          <w:highlight w:val="none"/>
          <w:lang w:eastAsia="zh-CN"/>
        </w:rPr>
        <w:t>二</w:t>
      </w:r>
      <w:r>
        <w:rPr>
          <w:rFonts w:hint="eastAsia" w:ascii="仿宋_GB2312" w:hAnsi="仿宋" w:eastAsia="仿宋_GB2312"/>
          <w:b/>
          <w:sz w:val="32"/>
          <w:szCs w:val="32"/>
          <w:highlight w:val="none"/>
        </w:rPr>
        <w:t>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当事人有下列情形之一，应当从轻或者减轻行政处罚：</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（一）主动消除或者减轻违法行为危害后果的；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（二）受他人胁迫或者诱骗实施违法行为的；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（三）主动供述行政机关尚未掌握的违法行为的；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（四）配合行政机关查处违法行为有立功表现的；</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（五）法律、法规、规章规定其他应当从轻或者减轻行政处罚的。</w:t>
      </w:r>
    </w:p>
    <w:p>
      <w:pPr>
        <w:keepNext w:val="0"/>
        <w:keepLines w:val="0"/>
        <w:pageBreakBefore w:val="0"/>
        <w:widowControl w:val="0"/>
        <w:kinsoku/>
        <w:wordWrap/>
        <w:overflowPunct/>
        <w:topLinePunct w:val="0"/>
        <w:autoSpaceDE/>
        <w:autoSpaceDN/>
        <w:bidi w:val="0"/>
        <w:adjustRightInd/>
        <w:spacing w:line="550" w:lineRule="exact"/>
        <w:ind w:firstLine="643" w:firstLineChars="200"/>
        <w:textAlignment w:val="auto"/>
        <w:outlineLvl w:val="9"/>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《中华人民共和国食品安全法》第三十四条第（</w:t>
      </w:r>
      <w:r>
        <w:rPr>
          <w:rFonts w:hint="eastAsia" w:ascii="仿宋_GB2312" w:hAnsi="仿宋" w:eastAsia="仿宋_GB2312"/>
          <w:b/>
          <w:sz w:val="32"/>
          <w:szCs w:val="32"/>
          <w:highlight w:val="none"/>
          <w:lang w:eastAsia="zh-CN"/>
        </w:rPr>
        <w:t>二</w:t>
      </w:r>
      <w:r>
        <w:rPr>
          <w:rFonts w:hint="eastAsia" w:ascii="仿宋_GB2312" w:hAnsi="仿宋" w:eastAsia="仿宋_GB2312"/>
          <w:b/>
          <w:sz w:val="32"/>
          <w:szCs w:val="32"/>
          <w:highlight w:val="none"/>
        </w:rPr>
        <w:t>）项：</w:t>
      </w:r>
    </w:p>
    <w:p>
      <w:pPr>
        <w:keepNext w:val="0"/>
        <w:keepLines w:val="0"/>
        <w:pageBreakBefore w:val="0"/>
        <w:widowControl w:val="0"/>
        <w:kinsoku/>
        <w:wordWrap/>
        <w:overflowPunct/>
        <w:topLinePunct w:val="0"/>
        <w:autoSpaceDE/>
        <w:autoSpaceDN/>
        <w:bidi w:val="0"/>
        <w:adjustRightInd/>
        <w:spacing w:line="55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禁止生产经营下列食品、食品添加剂、食品相关产品：</w:t>
      </w:r>
    </w:p>
    <w:p>
      <w:pPr>
        <w:keepNext w:val="0"/>
        <w:keepLines w:val="0"/>
        <w:pageBreakBefore w:val="0"/>
        <w:widowControl w:val="0"/>
        <w:numPr>
          <w:ilvl w:val="0"/>
          <w:numId w:val="0"/>
        </w:numPr>
        <w:kinsoku/>
        <w:wordWrap/>
        <w:overflowPunct/>
        <w:topLinePunct w:val="0"/>
        <w:autoSpaceDE/>
        <w:autoSpaceDN/>
        <w:bidi w:val="0"/>
        <w:adjustRightInd/>
        <w:spacing w:line="55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（二）致病性微生物，农药残留、兽药残留、生物毒素、重金属等污染物质以及其他危害人体健康的物质含量超过食品安全标准限量的食品、食品添加剂、食品相关产品；</w:t>
      </w:r>
      <w:r>
        <w:rPr>
          <w:rFonts w:hint="eastAsia" w:ascii="仿宋_GB2312" w:hAnsi="仿宋" w:eastAsia="仿宋_GB2312"/>
          <w:sz w:val="32"/>
          <w:szCs w:val="32"/>
          <w:highlight w:val="none"/>
        </w:rPr>
        <w:t xml:space="preserve"> </w:t>
      </w:r>
    </w:p>
    <w:p>
      <w:pPr>
        <w:keepNext w:val="0"/>
        <w:keepLines w:val="0"/>
        <w:pageBreakBefore w:val="0"/>
        <w:widowControl w:val="0"/>
        <w:kinsoku/>
        <w:wordWrap/>
        <w:overflowPunct/>
        <w:topLinePunct w:val="0"/>
        <w:autoSpaceDE/>
        <w:autoSpaceDN/>
        <w:bidi w:val="0"/>
        <w:adjustRightInd/>
        <w:spacing w:line="550" w:lineRule="exact"/>
        <w:ind w:firstLine="643" w:firstLineChars="200"/>
        <w:textAlignment w:val="auto"/>
        <w:outlineLvl w:val="9"/>
        <w:rPr>
          <w:rFonts w:hint="eastAsia" w:ascii="仿宋_GB2312" w:hAnsi="仿宋" w:eastAsia="仿宋_GB2312"/>
          <w:b/>
          <w:sz w:val="32"/>
          <w:szCs w:val="32"/>
          <w:highlight w:val="none"/>
        </w:rPr>
      </w:pPr>
      <w:bookmarkStart w:id="0" w:name="OLE_LINK1"/>
      <w:r>
        <w:rPr>
          <w:rFonts w:hint="eastAsia" w:ascii="仿宋_GB2312" w:hAnsi="仿宋" w:eastAsia="仿宋_GB2312"/>
          <w:b/>
          <w:sz w:val="32"/>
          <w:szCs w:val="32"/>
          <w:highlight w:val="none"/>
        </w:rPr>
        <w:t>《中华人民共和国食品安全法》第六十五条</w:t>
      </w:r>
      <w:r>
        <w:rPr>
          <w:rFonts w:hint="eastAsia" w:ascii="仿宋_GB2312" w:hAnsi="仿宋" w:eastAsia="仿宋_GB2312"/>
          <w:b/>
          <w:sz w:val="32"/>
          <w:szCs w:val="32"/>
          <w:highlight w:val="none"/>
          <w:lang w:eastAsia="zh-CN"/>
        </w:rPr>
        <w:t>：</w:t>
      </w:r>
      <w:r>
        <w:rPr>
          <w:rFonts w:hint="eastAsia" w:ascii="仿宋_GB2312" w:hAnsi="仿宋" w:eastAsia="仿宋_GB2312"/>
          <w:b/>
          <w:sz w:val="32"/>
          <w:szCs w:val="32"/>
          <w:highlight w:val="none"/>
        </w:rPr>
        <w:t>　</w:t>
      </w:r>
    </w:p>
    <w:p>
      <w:pPr>
        <w:keepNext w:val="0"/>
        <w:keepLines w:val="0"/>
        <w:pageBreakBefore w:val="0"/>
        <w:widowControl w:val="0"/>
        <w:kinsoku/>
        <w:wordWrap/>
        <w:overflowPunct/>
        <w:topLinePunct w:val="0"/>
        <w:autoSpaceDE/>
        <w:autoSpaceDN/>
        <w:bidi w:val="0"/>
        <w:adjustRightInd/>
        <w:spacing w:line="550" w:lineRule="exact"/>
        <w:ind w:firstLine="640" w:firstLineChars="200"/>
        <w:textAlignment w:val="auto"/>
        <w:outlineLvl w:val="9"/>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食用农产品销售者应当建立食用农产品进货查验记录制度，如实记录食用农产品的名称、数量、进货日期以及供货者名称、地址、联系方式等内容，并保存相关凭证。记录和凭证保存期限不得少于六个月。</w:t>
      </w:r>
    </w:p>
    <w:p>
      <w:pPr>
        <w:keepNext w:val="0"/>
        <w:keepLines w:val="0"/>
        <w:pageBreakBefore w:val="0"/>
        <w:widowControl w:val="0"/>
        <w:kinsoku/>
        <w:wordWrap/>
        <w:overflowPunct/>
        <w:topLinePunct w:val="0"/>
        <w:autoSpaceDE/>
        <w:autoSpaceDN/>
        <w:bidi w:val="0"/>
        <w:adjustRightInd/>
        <w:spacing w:line="550" w:lineRule="exact"/>
        <w:ind w:firstLine="643" w:firstLineChars="200"/>
        <w:textAlignment w:val="auto"/>
        <w:outlineLvl w:val="9"/>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《中华人民共和国食品安全法》第一百二十四条第一款第(</w:t>
      </w:r>
      <w:r>
        <w:rPr>
          <w:rFonts w:hint="eastAsia" w:ascii="仿宋_GB2312" w:hAnsi="仿宋" w:eastAsia="仿宋_GB2312"/>
          <w:b/>
          <w:sz w:val="32"/>
          <w:szCs w:val="32"/>
          <w:highlight w:val="none"/>
          <w:lang w:eastAsia="zh-CN"/>
        </w:rPr>
        <w:t>一</w:t>
      </w:r>
      <w:r>
        <w:rPr>
          <w:rFonts w:hint="eastAsia" w:ascii="仿宋_GB2312" w:hAnsi="仿宋" w:eastAsia="仿宋_GB2312"/>
          <w:b/>
          <w:sz w:val="32"/>
          <w:szCs w:val="32"/>
          <w:highlight w:val="none"/>
        </w:rPr>
        <w:t>）项</w:t>
      </w:r>
      <w:bookmarkEnd w:id="0"/>
      <w:r>
        <w:rPr>
          <w:rFonts w:hint="eastAsia" w:ascii="仿宋_GB2312" w:hAnsi="仿宋" w:eastAsia="仿宋_GB2312"/>
          <w:b/>
          <w:sz w:val="32"/>
          <w:szCs w:val="32"/>
          <w:highlight w:val="none"/>
        </w:rPr>
        <w:t>：</w:t>
      </w:r>
    </w:p>
    <w:p>
      <w:pPr>
        <w:keepNext w:val="0"/>
        <w:keepLines w:val="0"/>
        <w:pageBreakBefore w:val="0"/>
        <w:widowControl w:val="0"/>
        <w:kinsoku/>
        <w:wordWrap/>
        <w:overflowPunct/>
        <w:topLinePunct w:val="0"/>
        <w:autoSpaceDE/>
        <w:autoSpaceDN/>
        <w:bidi w:val="0"/>
        <w:adjustRightInd/>
        <w:spacing w:line="55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keepNext w:val="0"/>
        <w:keepLines w:val="0"/>
        <w:pageBreakBefore w:val="0"/>
        <w:widowControl w:val="0"/>
        <w:kinsoku/>
        <w:wordWrap/>
        <w:overflowPunct/>
        <w:topLinePunct w:val="0"/>
        <w:autoSpaceDE/>
        <w:autoSpaceDN/>
        <w:bidi w:val="0"/>
        <w:adjustRightInd/>
        <w:spacing w:line="55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一</w:t>
      </w:r>
      <w:r>
        <w:rPr>
          <w:rFonts w:hint="eastAsia" w:ascii="仿宋_GB2312" w:hAnsi="仿宋" w:eastAsia="仿宋_GB2312"/>
          <w:sz w:val="32"/>
          <w:szCs w:val="32"/>
          <w:highlight w:val="none"/>
        </w:rPr>
        <w:t>）生产经营致病性微生物，农药残留、兽药残留、生物毒素、重金属等污染物质以及其他危害人体健康的物质含量超过食品安全标准限量的食品、食品添加剂；</w:t>
      </w:r>
    </w:p>
    <w:p>
      <w:pPr>
        <w:keepNext w:val="0"/>
        <w:keepLines w:val="0"/>
        <w:pageBreakBefore w:val="0"/>
        <w:widowControl w:val="0"/>
        <w:kinsoku/>
        <w:wordWrap/>
        <w:overflowPunct/>
        <w:topLinePunct w:val="0"/>
        <w:autoSpaceDE/>
        <w:autoSpaceDN/>
        <w:bidi w:val="0"/>
        <w:adjustRightInd/>
        <w:spacing w:line="550" w:lineRule="exact"/>
        <w:ind w:firstLine="643" w:firstLineChars="200"/>
        <w:textAlignment w:val="auto"/>
        <w:outlineLvl w:val="9"/>
        <w:rPr>
          <w:rFonts w:hint="eastAsia" w:ascii="仿宋_GB2312" w:hAnsi="仿宋" w:eastAsia="仿宋_GB2312"/>
          <w:b/>
          <w:sz w:val="32"/>
          <w:szCs w:val="32"/>
          <w:highlight w:val="none"/>
          <w:lang w:eastAsia="zh-CN"/>
        </w:rPr>
      </w:pPr>
      <w:r>
        <w:rPr>
          <w:rFonts w:hint="eastAsia" w:ascii="仿宋_GB2312" w:hAnsi="仿宋" w:eastAsia="仿宋_GB2312"/>
          <w:b/>
          <w:sz w:val="32"/>
          <w:szCs w:val="32"/>
          <w:highlight w:val="none"/>
        </w:rPr>
        <w:t>《中华人民共和国食品安全法》第一百二十六条</w:t>
      </w:r>
      <w:r>
        <w:rPr>
          <w:rFonts w:hint="eastAsia" w:ascii="仿宋_GB2312" w:hAnsi="仿宋" w:eastAsia="仿宋_GB2312"/>
          <w:b/>
          <w:sz w:val="32"/>
          <w:szCs w:val="32"/>
          <w:highlight w:val="none"/>
          <w:lang w:eastAsia="zh-CN"/>
        </w:rPr>
        <w:t>第一款、第四款：</w:t>
      </w:r>
    </w:p>
    <w:p>
      <w:pPr>
        <w:keepNext w:val="0"/>
        <w:keepLines w:val="0"/>
        <w:pageBreakBefore w:val="0"/>
        <w:widowControl w:val="0"/>
        <w:kinsoku/>
        <w:wordWrap/>
        <w:overflowPunct/>
        <w:topLinePunct w:val="0"/>
        <w:autoSpaceDE/>
        <w:autoSpaceDN/>
        <w:bidi w:val="0"/>
        <w:adjustRightInd/>
        <w:spacing w:line="550" w:lineRule="exact"/>
        <w:ind w:firstLine="640" w:firstLineChars="200"/>
        <w:textAlignment w:val="auto"/>
        <w:outlineLvl w:val="9"/>
        <w:rPr>
          <w:rFonts w:hint="eastAsia" w:ascii="仿宋_GB2312" w:hAnsi="仿宋" w:eastAsia="仿宋_GB2312"/>
          <w:b w:val="0"/>
          <w:bCs/>
          <w:sz w:val="32"/>
          <w:szCs w:val="32"/>
          <w:highlight w:val="none"/>
          <w:lang w:eastAsia="zh-CN"/>
        </w:rPr>
      </w:pPr>
      <w:r>
        <w:rPr>
          <w:rFonts w:hint="eastAsia" w:ascii="仿宋_GB2312" w:hAnsi="仿宋" w:eastAsia="仿宋_GB2312"/>
          <w:b w:val="0"/>
          <w:bCs/>
          <w:sz w:val="32"/>
          <w:szCs w:val="32"/>
          <w:highlight w:val="none"/>
        </w:rPr>
        <w:t>违反本法规定，有下列情形之一的，由县级以上人民政府食品安全监督管理部门责令改正，给予警告；拒不改正的，处五千元以上五万元以下罚款；情节严重的，责令停产停业，直至吊销许可证</w:t>
      </w:r>
      <w:r>
        <w:rPr>
          <w:rFonts w:hint="eastAsia" w:ascii="仿宋_GB2312" w:hAnsi="仿宋" w:eastAsia="仿宋_GB2312"/>
          <w:b w:val="0"/>
          <w:bCs/>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 w:eastAsia="仿宋_GB2312"/>
          <w:b w:val="0"/>
          <w:bCs/>
          <w:sz w:val="32"/>
          <w:szCs w:val="32"/>
          <w:highlight w:val="none"/>
        </w:rPr>
      </w:pPr>
      <w:r>
        <w:rPr>
          <w:rFonts w:hint="eastAsia" w:ascii="仿宋_GB2312" w:hAnsi="仿宋" w:eastAsia="仿宋_GB2312"/>
          <w:b w:val="0"/>
          <w:bCs/>
          <w:sz w:val="32"/>
          <w:szCs w:val="32"/>
          <w:highlight w:val="none"/>
        </w:rPr>
        <w:t>食用农产品销售者违反本法第六十五条规定的，由县级以上人民政府食品安全监督管理部门依照第一款规定给予处罚。</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textAlignment w:val="auto"/>
        <w:outlineLvl w:val="9"/>
        <w:rPr>
          <w:rFonts w:hint="eastAsia" w:ascii="仿宋_GB2312" w:hAnsi="仿宋" w:eastAsia="仿宋_GB2312"/>
          <w:b/>
          <w:sz w:val="32"/>
          <w:szCs w:val="32"/>
          <w:highlight w:val="none"/>
        </w:rPr>
      </w:pPr>
      <w:r>
        <w:rPr>
          <w:rFonts w:hint="eastAsia" w:ascii="仿宋_GB2312" w:hAnsi="仿宋" w:eastAsia="仿宋_GB2312"/>
          <w:b/>
          <w:sz w:val="32"/>
          <w:szCs w:val="32"/>
          <w:highlight w:val="none"/>
        </w:rPr>
        <w:t>《福建省市场监督管理行政处罚裁量权适用规则》第十一条第（</w:t>
      </w:r>
      <w:r>
        <w:rPr>
          <w:rFonts w:hint="eastAsia" w:ascii="仿宋_GB2312" w:hAnsi="仿宋" w:eastAsia="仿宋_GB2312"/>
          <w:b/>
          <w:sz w:val="32"/>
          <w:szCs w:val="32"/>
          <w:highlight w:val="none"/>
          <w:lang w:eastAsia="zh-CN"/>
        </w:rPr>
        <w:t>二</w:t>
      </w:r>
      <w:r>
        <w:rPr>
          <w:rFonts w:hint="eastAsia" w:ascii="仿宋_GB2312" w:hAnsi="仿宋" w:eastAsia="仿宋_GB2312"/>
          <w:b/>
          <w:sz w:val="32"/>
          <w:szCs w:val="32"/>
          <w:highlight w:val="none"/>
        </w:rPr>
        <w:t>）</w:t>
      </w:r>
      <w:r>
        <w:rPr>
          <w:rFonts w:hint="eastAsia" w:ascii="仿宋_GB2312" w:hAnsi="仿宋" w:eastAsia="仿宋_GB2312"/>
          <w:b/>
          <w:sz w:val="32"/>
          <w:szCs w:val="32"/>
          <w:highlight w:val="none"/>
          <w:lang w:eastAsia="zh-CN"/>
        </w:rPr>
        <w:t>、（三）</w:t>
      </w:r>
      <w:r>
        <w:rPr>
          <w:rFonts w:hint="eastAsia" w:ascii="仿宋_GB2312" w:hAnsi="仿宋" w:eastAsia="仿宋_GB2312"/>
          <w:b/>
          <w:sz w:val="32"/>
          <w:szCs w:val="32"/>
          <w:highlight w:val="none"/>
        </w:rPr>
        <w:t>项规定：</w:t>
      </w:r>
    </w:p>
    <w:p>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outlineLvl w:val="9"/>
        <w:rPr>
          <w:rFonts w:hint="eastAsia" w:ascii="仿宋_GB2312" w:hAnsi="仿宋" w:eastAsia="仿宋_GB2312"/>
          <w:sz w:val="32"/>
          <w:szCs w:val="32"/>
          <w:highlight w:val="none"/>
        </w:rPr>
      </w:pPr>
      <w:r>
        <w:rPr>
          <w:rFonts w:hint="eastAsia" w:ascii="仿宋_GB2312" w:hAnsi="仿宋" w:eastAsia="仿宋_GB2312" w:cs="仿宋_GB2312"/>
          <w:sz w:val="32"/>
          <w:szCs w:val="32"/>
          <w:highlight w:val="none"/>
        </w:rPr>
        <w:t>有下列情形之一的，可以依法从轻或者减轻行政处罚：</w:t>
      </w:r>
    </w:p>
    <w:p>
      <w:pPr>
        <w:keepNext w:val="0"/>
        <w:keepLines w:val="0"/>
        <w:pageBreakBefore w:val="0"/>
        <w:widowControl w:val="0"/>
        <w:numPr>
          <w:ilvl w:val="0"/>
          <w:numId w:val="1"/>
        </w:numPr>
        <w:kinsoku/>
        <w:wordWrap/>
        <w:overflowPunct/>
        <w:topLinePunct w:val="0"/>
        <w:autoSpaceDE/>
        <w:autoSpaceDN/>
        <w:bidi w:val="0"/>
        <w:adjustRightInd/>
        <w:spacing w:line="550" w:lineRule="exact"/>
        <w:ind w:firstLine="640" w:firstLineChars="200"/>
        <w:textAlignment w:val="auto"/>
        <w:outlineLvl w:val="9"/>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rPr>
        <w:t>积极配合市场监督管理部门调查，如实陈述违法事实并主动提供证据材料的;</w:t>
      </w:r>
    </w:p>
    <w:p>
      <w:pPr>
        <w:keepNext w:val="0"/>
        <w:keepLines w:val="0"/>
        <w:pageBreakBefore w:val="0"/>
        <w:widowControl w:val="0"/>
        <w:numPr>
          <w:ilvl w:val="0"/>
          <w:numId w:val="1"/>
        </w:numPr>
        <w:kinsoku/>
        <w:wordWrap/>
        <w:overflowPunct/>
        <w:topLinePunct w:val="0"/>
        <w:autoSpaceDE/>
        <w:autoSpaceDN/>
        <w:bidi w:val="0"/>
        <w:adjustRightInd/>
        <w:spacing w:line="550" w:lineRule="exact"/>
        <w:ind w:firstLine="640" w:firstLineChars="200"/>
        <w:textAlignment w:val="auto"/>
        <w:outlineLvl w:val="9"/>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违法行为轻微，社会危害性较小的；</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50" w:lineRule="exact"/>
        <w:ind w:left="0" w:right="0" w:firstLine="643" w:firstLineChars="200"/>
        <w:jc w:val="both"/>
        <w:textAlignment w:val="baseline"/>
        <w:rPr>
          <w:rFonts w:hint="eastAsia" w:ascii="仿宋_GB2312" w:hAnsi="仿宋_GB2312" w:eastAsia="仿宋_GB2312" w:cs="仿宋_GB2312"/>
          <w:b/>
          <w:bCs/>
          <w:sz w:val="32"/>
          <w:szCs w:val="32"/>
          <w:vertAlign w:val="baseline"/>
          <w:lang w:val="en-US"/>
        </w:rPr>
      </w:pPr>
      <w:r>
        <w:rPr>
          <w:rFonts w:hint="eastAsia" w:ascii="仿宋_GB2312" w:hAnsi="仿宋_GB2312" w:eastAsia="仿宋_GB2312" w:cs="仿宋_GB2312"/>
          <w:b/>
          <w:bCs/>
          <w:kern w:val="2"/>
          <w:sz w:val="32"/>
          <w:szCs w:val="32"/>
          <w:vertAlign w:val="baseline"/>
          <w:lang w:val="en-US" w:eastAsia="zh-CN" w:bidi="ar"/>
        </w:rPr>
        <w:t>《福建省市场监管局关于印发《福建省市场监管领域行政执法裁量四张清单（修订）》（闽市监规〔2024〕2号）中的减轻处罚事项清单序号20</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50" w:lineRule="exact"/>
        <w:ind w:left="0" w:right="0" w:firstLine="643" w:firstLineChars="200"/>
        <w:jc w:val="both"/>
        <w:textAlignment w:val="baseline"/>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b/>
          <w:bCs/>
          <w:kern w:val="2"/>
          <w:sz w:val="32"/>
          <w:szCs w:val="32"/>
          <w:vertAlign w:val="baseline"/>
          <w:lang w:val="en-US" w:eastAsia="zh-CN" w:bidi="ar"/>
        </w:rPr>
        <w:t>行政处罚事项：</w:t>
      </w:r>
      <w:r>
        <w:rPr>
          <w:rFonts w:hint="eastAsia" w:ascii="仿宋_GB2312" w:hAnsi="仿宋_GB2312" w:eastAsia="仿宋_GB2312" w:cs="仿宋_GB2312"/>
          <w:kern w:val="2"/>
          <w:sz w:val="32"/>
          <w:szCs w:val="32"/>
          <w:vertAlign w:val="baseline"/>
          <w:lang w:val="en-US" w:eastAsia="zh-CN" w:bidi="ar"/>
        </w:rPr>
        <w:t>销售的食品（含食用农产品）在食品安全监督抽检中被判定为不合格</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50" w:lineRule="exact"/>
        <w:ind w:left="0" w:right="0" w:firstLine="643" w:firstLineChars="200"/>
        <w:jc w:val="both"/>
        <w:textAlignment w:val="baseline"/>
        <w:rPr>
          <w:rFonts w:hint="eastAsia" w:ascii="仿宋_GB2312" w:hAnsi="仿宋_GB2312" w:eastAsia="仿宋_GB2312" w:cs="仿宋_GB2312"/>
          <w:b/>
          <w:bCs/>
          <w:sz w:val="32"/>
          <w:szCs w:val="32"/>
          <w:vertAlign w:val="baseline"/>
          <w:lang w:val="en-US"/>
        </w:rPr>
      </w:pPr>
      <w:r>
        <w:rPr>
          <w:rFonts w:hint="eastAsia" w:ascii="仿宋_GB2312" w:hAnsi="仿宋_GB2312" w:eastAsia="仿宋_GB2312" w:cs="仿宋_GB2312"/>
          <w:b/>
          <w:bCs/>
          <w:kern w:val="2"/>
          <w:sz w:val="32"/>
          <w:szCs w:val="32"/>
          <w:vertAlign w:val="baseline"/>
          <w:lang w:val="en-US" w:eastAsia="zh-CN" w:bidi="ar"/>
        </w:rPr>
        <w:t>适用条件：</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50" w:lineRule="exact"/>
        <w:ind w:left="0" w:right="0" w:firstLine="640" w:firstLineChars="200"/>
        <w:jc w:val="both"/>
        <w:textAlignment w:val="baseline"/>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kern w:val="2"/>
          <w:sz w:val="32"/>
          <w:szCs w:val="32"/>
          <w:vertAlign w:val="baseline"/>
          <w:lang w:val="en-US" w:eastAsia="zh-CN" w:bidi="ar"/>
        </w:rPr>
        <w:t>1.有证据证明或者根据常识判断，不符合食品安全标准的事项并非由食品、食用农产品经营者所致；</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50" w:lineRule="exact"/>
        <w:ind w:left="0" w:right="0" w:firstLine="640" w:firstLineChars="200"/>
        <w:jc w:val="both"/>
        <w:textAlignment w:val="baseline"/>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kern w:val="2"/>
          <w:sz w:val="32"/>
          <w:szCs w:val="32"/>
          <w:vertAlign w:val="baseline"/>
          <w:lang w:val="en-US" w:eastAsia="zh-CN" w:bidi="ar"/>
        </w:rPr>
        <w:t>2.货值金额不超过1000元；</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50" w:lineRule="exact"/>
        <w:ind w:left="0" w:right="0" w:firstLine="640" w:firstLineChars="200"/>
        <w:jc w:val="both"/>
        <w:textAlignment w:val="baseline"/>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kern w:val="2"/>
          <w:sz w:val="32"/>
          <w:szCs w:val="32"/>
          <w:vertAlign w:val="baseline"/>
          <w:lang w:val="en-US" w:eastAsia="zh-CN" w:bidi="ar"/>
        </w:rPr>
        <w:t>3.主动改正或者在市场监管部门责令改正的期限内改正；</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50" w:lineRule="exact"/>
        <w:ind w:left="0" w:right="0" w:firstLine="640" w:firstLineChars="200"/>
        <w:jc w:val="both"/>
        <w:textAlignment w:val="baseline"/>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kern w:val="2"/>
          <w:sz w:val="32"/>
          <w:szCs w:val="32"/>
          <w:vertAlign w:val="baseline"/>
          <w:lang w:val="en-US" w:eastAsia="zh-CN" w:bidi="ar"/>
        </w:rPr>
        <w:t>4.不合格项目不属于农业农村部《禁限用农药名录》和第250号公告《食品动物中禁止使用的药品及其他化合物清单》中规定的禁用农兽药；</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50" w:lineRule="exact"/>
        <w:ind w:left="0" w:right="0" w:firstLine="640" w:firstLineChars="200"/>
        <w:jc w:val="both"/>
        <w:textAlignment w:val="baseline"/>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kern w:val="2"/>
          <w:sz w:val="32"/>
          <w:szCs w:val="32"/>
          <w:vertAlign w:val="baseline"/>
          <w:lang w:val="en-US" w:eastAsia="zh-CN" w:bidi="ar"/>
        </w:rPr>
        <w:t>5.未发生食品安全事故或未发生食源性疾病；</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50" w:lineRule="exact"/>
        <w:ind w:left="0" w:right="0" w:firstLine="640" w:firstLineChars="200"/>
        <w:jc w:val="both"/>
        <w:textAlignment w:val="baseline"/>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kern w:val="2"/>
          <w:sz w:val="32"/>
          <w:szCs w:val="32"/>
          <w:vertAlign w:val="baseline"/>
          <w:lang w:val="en-US" w:eastAsia="zh-CN" w:bidi="ar"/>
        </w:rPr>
        <w:t>6.未造成实际危害后果。</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3"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bCs/>
          <w:kern w:val="2"/>
          <w:sz w:val="32"/>
          <w:szCs w:val="32"/>
          <w:lang w:val="en-US" w:eastAsia="zh-CN" w:bidi="ar"/>
        </w:rPr>
        <w:t>法规依据：</w:t>
      </w:r>
      <w:r>
        <w:rPr>
          <w:rFonts w:hint="eastAsia" w:ascii="仿宋_GB2312" w:hAnsi="仿宋_GB2312" w:eastAsia="仿宋_GB2312" w:cs="仿宋_GB2312"/>
          <w:kern w:val="2"/>
          <w:sz w:val="32"/>
          <w:szCs w:val="32"/>
          <w:lang w:val="en-US" w:eastAsia="zh-CN" w:bidi="ar"/>
        </w:rPr>
        <w:t>《中华人民共和国食品安全法》第一百二十三条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（一）用非食品原料生产食品、在食品中添加食品添加剂以外的化学物质和其他可能危害人体健康的物质，或者用回收食品作为原料生产食品，或者经营上述食品；</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（二）生产经营营养成分不符合食品安全标准的专供婴幼儿和其他特定人群的主辅食品；</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（三）经营病死、毒死或者死因不明的禽、畜、兽、水产动物肉类，或者生产经营其制品；</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（四）经营未按规定进行检疫或者检疫不合格的肉类，或者生产经营未经检验或者检验不合格的肉类制品；</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（五）生产经营国家为防病等特殊需要明令禁止生产经营的食品；</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（六）生产经营添加药品的食品。</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第一百二十四条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（一）生产经营致病性微生物，农药残留、兽药残留、生物毒素、重金属等污染物质以及其他危害人体健康的物质含量超过食品安全标准限量的食品、食品添加剂；</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（二）用超过保质期的食品原料、食品添加剂生产食品、食品添加剂，或者经营上述食品、食品添加剂；</w:t>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50" w:lineRule="exact"/>
        <w:ind w:left="0" w:right="0" w:firstLine="640" w:firstLineChars="200"/>
        <w:jc w:val="both"/>
        <w:rPr>
          <w:rFonts w:hint="eastAsia" w:ascii="仿宋_GB2312" w:hAnsi="仿宋_GB2312" w:eastAsia="仿宋_GB2312" w:cs="仿宋_GB2312"/>
          <w:spacing w:val="-3"/>
          <w:sz w:val="32"/>
          <w:szCs w:val="32"/>
          <w:lang w:val="en-US"/>
        </w:rPr>
      </w:pPr>
      <w:r>
        <w:rPr>
          <w:rFonts w:hint="eastAsia" w:ascii="仿宋_GB2312" w:hAnsi="仿宋_GB2312" w:eastAsia="仿宋_GB2312" w:cs="仿宋_GB2312"/>
          <w:kern w:val="2"/>
          <w:sz w:val="32"/>
          <w:szCs w:val="32"/>
          <w:lang w:val="en-US" w:eastAsia="zh-CN" w:bidi="ar"/>
        </w:rPr>
        <w:t>（三）生产经营超范围、超限量使用食品添加剂的食品；</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textAlignment w:val="auto"/>
        <w:outlineLvl w:val="9"/>
        <w:rPr>
          <w:rFonts w:hint="eastAsia" w:ascii="仿宋_GB2312" w:hAnsi="仿宋" w:eastAsia="仿宋_GB2312"/>
          <w:b w:val="0"/>
          <w:bCs/>
          <w:sz w:val="32"/>
          <w:szCs w:val="32"/>
          <w:highlight w:val="none"/>
          <w:lang w:val="en-US" w:eastAsia="zh-CN"/>
        </w:rPr>
      </w:pPr>
    </w:p>
    <w:p>
      <w:pPr>
        <w:keepNext w:val="0"/>
        <w:keepLines w:val="0"/>
        <w:pageBreakBefore w:val="0"/>
        <w:widowControl w:val="0"/>
        <w:suppressLineNumbers w:val="0"/>
        <w:kinsoku/>
        <w:wordWrap/>
        <w:overflowPunct/>
        <w:topLinePunct w:val="0"/>
        <w:autoSpaceDN/>
        <w:bidi w:val="0"/>
        <w:adjustRightInd w:val="0"/>
        <w:snapToGrid/>
        <w:spacing w:before="0" w:beforeAutospacing="0" w:after="0" w:afterAutospacing="0" w:line="560" w:lineRule="exact"/>
        <w:ind w:left="0" w:right="0" w:firstLine="640" w:firstLineChars="200"/>
        <w:jc w:val="both"/>
        <w:textAlignment w:val="baseline"/>
        <w:rPr>
          <w:rFonts w:hint="eastAsia" w:ascii="仿宋_GB2312" w:hAnsi="仿宋" w:eastAsia="仿宋_GB2312"/>
          <w:sz w:val="32"/>
          <w:szCs w:val="32"/>
        </w:rPr>
      </w:pPr>
    </w:p>
    <w:sectPr>
      <w:pgSz w:w="11906" w:h="16838"/>
      <w:pgMar w:top="1440" w:right="141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ascii="宋体" w:hAnsi="宋体"/>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56335" cy="230505"/>
              <wp:effectExtent l="0" t="0" r="0" b="0"/>
              <wp:wrapNone/>
              <wp:docPr id="5" name="文本框2"/>
              <wp:cNvGraphicFramePr/>
              <a:graphic xmlns:a="http://schemas.openxmlformats.org/drawingml/2006/main">
                <a:graphicData uri="http://schemas.microsoft.com/office/word/2010/wordprocessingShape">
                  <wps:wsp>
                    <wps:cNvSpPr/>
                    <wps:spPr>
                      <a:xfrm>
                        <a:off x="0" y="0"/>
                        <a:ext cx="1156335" cy="230505"/>
                      </a:xfrm>
                      <a:prstGeom prst="rect">
                        <a:avLst/>
                      </a:prstGeom>
                      <a:noFill/>
                      <a:ln w="9525">
                        <a:noFill/>
                      </a:ln>
                    </wps:spPr>
                    <wps:txbx>
                      <w:txbxContent>
                        <w:p>
                          <w:pPr>
                            <w:pStyle w:val="3"/>
                            <w:jc w:val="center"/>
                          </w:pPr>
                          <w:r>
                            <w:rPr>
                              <w:rFonts w:hint="eastAsia" w:ascii="宋体" w:hAnsi="宋体"/>
                              <w:sz w:val="28"/>
                              <w:szCs w:val="28"/>
                            </w:rPr>
                            <w:t>第</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4</w:t>
                          </w:r>
                          <w:r>
                            <w:rPr>
                              <w:rFonts w:ascii="宋体" w:hAnsi="宋体"/>
                              <w:sz w:val="28"/>
                              <w:szCs w:val="28"/>
                            </w:rPr>
                            <w:fldChar w:fldCharType="end"/>
                          </w:r>
                          <w:r>
                            <w:rPr>
                              <w:rStyle w:val="8"/>
                              <w:rFonts w:hint="eastAsia" w:ascii="宋体" w:hAnsi="宋体"/>
                              <w:sz w:val="28"/>
                              <w:szCs w:val="28"/>
                            </w:rPr>
                            <w:t>页 共</w:t>
                          </w:r>
                          <w:r>
                            <w:rPr>
                              <w:rFonts w:hint="eastAsia" w:ascii="宋体" w:hAnsi="宋体"/>
                              <w:sz w:val="28"/>
                              <w:szCs w:val="28"/>
                            </w:rPr>
                            <w:fldChar w:fldCharType="begin"/>
                          </w:r>
                          <w:r>
                            <w:rPr>
                              <w:rFonts w:hint="eastAsia" w:ascii="宋体" w:hAnsi="宋体"/>
                              <w:sz w:val="28"/>
                              <w:szCs w:val="28"/>
                            </w:rPr>
                            <w:instrText xml:space="preserve"> SECTIONPAGES \* MERGEFORMAT </w:instrText>
                          </w:r>
                          <w:r>
                            <w:rPr>
                              <w:rFonts w:hint="eastAsia" w:ascii="宋体" w:hAnsi="宋体"/>
                              <w:sz w:val="28"/>
                              <w:szCs w:val="28"/>
                            </w:rPr>
                            <w:fldChar w:fldCharType="separate"/>
                          </w:r>
                          <w:r>
                            <w:rPr>
                              <w:rFonts w:hint="eastAsia" w:ascii="宋体" w:hAnsi="宋体"/>
                              <w:sz w:val="28"/>
                              <w:szCs w:val="28"/>
                            </w:rPr>
                            <w:t>3</w:t>
                          </w:r>
                          <w:r>
                            <w:rPr>
                              <w:rFonts w:hint="eastAsia" w:ascii="宋体" w:hAnsi="宋体"/>
                              <w:sz w:val="28"/>
                              <w:szCs w:val="28"/>
                            </w:rPr>
                            <w:fldChar w:fldCharType="end"/>
                          </w:r>
                          <w:r>
                            <w:rPr>
                              <w:rStyle w:val="8"/>
                              <w:rFonts w:hint="eastAsia" w:ascii="宋体" w:hAnsi="宋体"/>
                              <w:sz w:val="28"/>
                              <w:szCs w:val="28"/>
                            </w:rPr>
                            <w:t>页</w:t>
                          </w:r>
                        </w:p>
                      </w:txbxContent>
                    </wps:txbx>
                    <wps:bodyPr wrap="none" lIns="0" tIns="0" rIns="0" bIns="0" upright="0">
                      <a:spAutoFit/>
                    </wps:bodyPr>
                  </wps:wsp>
                </a:graphicData>
              </a:graphic>
            </wp:anchor>
          </w:drawing>
        </mc:Choice>
        <mc:Fallback>
          <w:pict>
            <v:rect id="文本框2" o:spid="_x0000_s1026" o:spt="1" style="position:absolute;left:0pt;margin-top:0pt;height:18.15pt;width:91.05pt;mso-position-horizontal:center;mso-position-horizontal-relative:margin;mso-wrap-style:none;z-index:251659264;mso-width-relative:page;mso-height-relative:page;" filled="f" stroked="f" coordsize="21600,21600" o:gfxdata="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oFHjHS&#10;AAAABAEAAA8AAAAAAAAAAQAgAAAAIgAAAGRycy9kb3ducmV2LnhtbFBLAQIUABQAAAAIAIdO4kB0&#10;DkBbtAEAAEgDAAAOAAAAAAAAAAEAIAAAACEBAABkcnMvZTJvRG9jLnhtbFBLBQYAAAAABgAGAFkB&#10;AABHBQAAAAA=&#10;">
              <v:fill on="f" focussize="0,0"/>
              <v:stroke on="f"/>
              <v:imagedata o:title=""/>
              <o:lock v:ext="edit" aspectratio="f"/>
              <v:textbox inset="0mm,0mm,0mm,0mm" style="mso-fit-shape-to-text:t;">
                <w:txbxContent>
                  <w:p>
                    <w:pPr>
                      <w:pStyle w:val="3"/>
                      <w:jc w:val="center"/>
                    </w:pPr>
                    <w:r>
                      <w:rPr>
                        <w:rFonts w:hint="eastAsia" w:ascii="宋体" w:hAnsi="宋体"/>
                        <w:sz w:val="28"/>
                        <w:szCs w:val="28"/>
                      </w:rPr>
                      <w:t>第</w:t>
                    </w:r>
                    <w:r>
                      <w:rPr>
                        <w:rFonts w:ascii="宋体" w:hAnsi="宋体"/>
                        <w:sz w:val="28"/>
                        <w:szCs w:val="28"/>
                      </w:rPr>
                      <w:fldChar w:fldCharType="begin"/>
                    </w:r>
                    <w:r>
                      <w:rPr>
                        <w:rStyle w:val="8"/>
                        <w:rFonts w:ascii="宋体" w:hAnsi="宋体"/>
                        <w:sz w:val="28"/>
                        <w:szCs w:val="28"/>
                      </w:rPr>
                      <w:instrText xml:space="preserve"> PAGE </w:instrText>
                    </w:r>
                    <w:r>
                      <w:rPr>
                        <w:rFonts w:ascii="宋体" w:hAnsi="宋体"/>
                        <w:sz w:val="28"/>
                        <w:szCs w:val="28"/>
                      </w:rPr>
                      <w:fldChar w:fldCharType="separate"/>
                    </w:r>
                    <w:r>
                      <w:rPr>
                        <w:rStyle w:val="8"/>
                        <w:rFonts w:ascii="宋体" w:hAnsi="宋体"/>
                        <w:sz w:val="28"/>
                        <w:szCs w:val="28"/>
                      </w:rPr>
                      <w:t>4</w:t>
                    </w:r>
                    <w:r>
                      <w:rPr>
                        <w:rFonts w:ascii="宋体" w:hAnsi="宋体"/>
                        <w:sz w:val="28"/>
                        <w:szCs w:val="28"/>
                      </w:rPr>
                      <w:fldChar w:fldCharType="end"/>
                    </w:r>
                    <w:r>
                      <w:rPr>
                        <w:rStyle w:val="8"/>
                        <w:rFonts w:hint="eastAsia" w:ascii="宋体" w:hAnsi="宋体"/>
                        <w:sz w:val="28"/>
                        <w:szCs w:val="28"/>
                      </w:rPr>
                      <w:t>页 共</w:t>
                    </w:r>
                    <w:r>
                      <w:rPr>
                        <w:rFonts w:hint="eastAsia" w:ascii="宋体" w:hAnsi="宋体"/>
                        <w:sz w:val="28"/>
                        <w:szCs w:val="28"/>
                      </w:rPr>
                      <w:fldChar w:fldCharType="begin"/>
                    </w:r>
                    <w:r>
                      <w:rPr>
                        <w:rFonts w:hint="eastAsia" w:ascii="宋体" w:hAnsi="宋体"/>
                        <w:sz w:val="28"/>
                        <w:szCs w:val="28"/>
                      </w:rPr>
                      <w:instrText xml:space="preserve"> SECTIONPAGES \* MERGEFORMAT </w:instrText>
                    </w:r>
                    <w:r>
                      <w:rPr>
                        <w:rFonts w:hint="eastAsia" w:ascii="宋体" w:hAnsi="宋体"/>
                        <w:sz w:val="28"/>
                        <w:szCs w:val="28"/>
                      </w:rPr>
                      <w:fldChar w:fldCharType="separate"/>
                    </w:r>
                    <w:r>
                      <w:rPr>
                        <w:rFonts w:hint="eastAsia" w:ascii="宋体" w:hAnsi="宋体"/>
                        <w:sz w:val="28"/>
                        <w:szCs w:val="28"/>
                      </w:rPr>
                      <w:t>3</w:t>
                    </w:r>
                    <w:r>
                      <w:rPr>
                        <w:rFonts w:hint="eastAsia" w:ascii="宋体" w:hAnsi="宋体"/>
                        <w:sz w:val="28"/>
                        <w:szCs w:val="28"/>
                      </w:rPr>
                      <w:fldChar w:fldCharType="end"/>
                    </w:r>
                    <w:r>
                      <w:rPr>
                        <w:rStyle w:val="8"/>
                        <w:rFonts w:hint="eastAsia" w:ascii="宋体" w:hAnsi="宋体"/>
                        <w:sz w:val="28"/>
                        <w:szCs w:val="28"/>
                      </w:rPr>
                      <w:t>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34EA8"/>
    <w:multiLevelType w:val="singleLevel"/>
    <w:tmpl w:val="10234EA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D00BA"/>
    <w:rsid w:val="00007C5F"/>
    <w:rsid w:val="00026505"/>
    <w:rsid w:val="00035CA7"/>
    <w:rsid w:val="00040061"/>
    <w:rsid w:val="00042902"/>
    <w:rsid w:val="00055ADF"/>
    <w:rsid w:val="000673D2"/>
    <w:rsid w:val="00067C9A"/>
    <w:rsid w:val="000762A2"/>
    <w:rsid w:val="00092E13"/>
    <w:rsid w:val="0009656A"/>
    <w:rsid w:val="000A038E"/>
    <w:rsid w:val="000A19FD"/>
    <w:rsid w:val="000A2C26"/>
    <w:rsid w:val="000E1196"/>
    <w:rsid w:val="00100B25"/>
    <w:rsid w:val="00136B5E"/>
    <w:rsid w:val="0014139C"/>
    <w:rsid w:val="001427AE"/>
    <w:rsid w:val="00151C32"/>
    <w:rsid w:val="0015284F"/>
    <w:rsid w:val="001544B0"/>
    <w:rsid w:val="00160674"/>
    <w:rsid w:val="001621CB"/>
    <w:rsid w:val="001937BD"/>
    <w:rsid w:val="001B0B2F"/>
    <w:rsid w:val="001B4AAB"/>
    <w:rsid w:val="001B5F59"/>
    <w:rsid w:val="001B78AA"/>
    <w:rsid w:val="001B78B7"/>
    <w:rsid w:val="001C55A7"/>
    <w:rsid w:val="001E3D4C"/>
    <w:rsid w:val="001E7D77"/>
    <w:rsid w:val="00220AF4"/>
    <w:rsid w:val="002330EB"/>
    <w:rsid w:val="00242ACC"/>
    <w:rsid w:val="00243A43"/>
    <w:rsid w:val="00244875"/>
    <w:rsid w:val="00245EF2"/>
    <w:rsid w:val="00265423"/>
    <w:rsid w:val="002673A0"/>
    <w:rsid w:val="00271341"/>
    <w:rsid w:val="00290DB2"/>
    <w:rsid w:val="00294891"/>
    <w:rsid w:val="002956EA"/>
    <w:rsid w:val="002A27C9"/>
    <w:rsid w:val="002A4BDB"/>
    <w:rsid w:val="002D55F2"/>
    <w:rsid w:val="002F5116"/>
    <w:rsid w:val="00302665"/>
    <w:rsid w:val="00305D16"/>
    <w:rsid w:val="0031246D"/>
    <w:rsid w:val="003253A3"/>
    <w:rsid w:val="00334CE1"/>
    <w:rsid w:val="00335406"/>
    <w:rsid w:val="0033626F"/>
    <w:rsid w:val="00340B76"/>
    <w:rsid w:val="00341EBB"/>
    <w:rsid w:val="003547C9"/>
    <w:rsid w:val="00355313"/>
    <w:rsid w:val="00355E6E"/>
    <w:rsid w:val="00361DEA"/>
    <w:rsid w:val="00365D6A"/>
    <w:rsid w:val="00367BC0"/>
    <w:rsid w:val="0038020F"/>
    <w:rsid w:val="003A1F77"/>
    <w:rsid w:val="003A5B9C"/>
    <w:rsid w:val="003A726D"/>
    <w:rsid w:val="003B5510"/>
    <w:rsid w:val="003F0880"/>
    <w:rsid w:val="003F3973"/>
    <w:rsid w:val="0040225D"/>
    <w:rsid w:val="00422884"/>
    <w:rsid w:val="00425782"/>
    <w:rsid w:val="00434833"/>
    <w:rsid w:val="00452974"/>
    <w:rsid w:val="0046297B"/>
    <w:rsid w:val="00463B1E"/>
    <w:rsid w:val="00465A03"/>
    <w:rsid w:val="00476B98"/>
    <w:rsid w:val="004773A5"/>
    <w:rsid w:val="004A6218"/>
    <w:rsid w:val="004B03FE"/>
    <w:rsid w:val="004B5CE2"/>
    <w:rsid w:val="004C2EC8"/>
    <w:rsid w:val="004C7F9E"/>
    <w:rsid w:val="004D5C6D"/>
    <w:rsid w:val="004E06FB"/>
    <w:rsid w:val="004E3E19"/>
    <w:rsid w:val="004F307B"/>
    <w:rsid w:val="005106F6"/>
    <w:rsid w:val="0052015F"/>
    <w:rsid w:val="00541265"/>
    <w:rsid w:val="0054365E"/>
    <w:rsid w:val="0055175D"/>
    <w:rsid w:val="005616A3"/>
    <w:rsid w:val="00572589"/>
    <w:rsid w:val="00575650"/>
    <w:rsid w:val="0058517F"/>
    <w:rsid w:val="005C1D01"/>
    <w:rsid w:val="005C3898"/>
    <w:rsid w:val="005E1DF5"/>
    <w:rsid w:val="005E215A"/>
    <w:rsid w:val="005F04F0"/>
    <w:rsid w:val="005F11B0"/>
    <w:rsid w:val="005F7A78"/>
    <w:rsid w:val="00604E60"/>
    <w:rsid w:val="00623F45"/>
    <w:rsid w:val="00631491"/>
    <w:rsid w:val="00640D7F"/>
    <w:rsid w:val="00644482"/>
    <w:rsid w:val="00665C8A"/>
    <w:rsid w:val="00680F35"/>
    <w:rsid w:val="006845A7"/>
    <w:rsid w:val="006A3FB5"/>
    <w:rsid w:val="006B2415"/>
    <w:rsid w:val="006B6F21"/>
    <w:rsid w:val="006C38E1"/>
    <w:rsid w:val="006E4499"/>
    <w:rsid w:val="006E5896"/>
    <w:rsid w:val="006F0F1A"/>
    <w:rsid w:val="0070363C"/>
    <w:rsid w:val="0070442A"/>
    <w:rsid w:val="007076E0"/>
    <w:rsid w:val="00730756"/>
    <w:rsid w:val="00732FAB"/>
    <w:rsid w:val="00751F40"/>
    <w:rsid w:val="0075663F"/>
    <w:rsid w:val="007613F5"/>
    <w:rsid w:val="0076309F"/>
    <w:rsid w:val="0077092F"/>
    <w:rsid w:val="00774D53"/>
    <w:rsid w:val="00787A11"/>
    <w:rsid w:val="007D1080"/>
    <w:rsid w:val="007D2148"/>
    <w:rsid w:val="007D27B5"/>
    <w:rsid w:val="00802478"/>
    <w:rsid w:val="008170DF"/>
    <w:rsid w:val="00825F55"/>
    <w:rsid w:val="0083102C"/>
    <w:rsid w:val="00834233"/>
    <w:rsid w:val="008433B9"/>
    <w:rsid w:val="008602ED"/>
    <w:rsid w:val="00874CA8"/>
    <w:rsid w:val="008775F6"/>
    <w:rsid w:val="008824C5"/>
    <w:rsid w:val="00882FC4"/>
    <w:rsid w:val="00884ECD"/>
    <w:rsid w:val="0089399F"/>
    <w:rsid w:val="008A7F9E"/>
    <w:rsid w:val="008B03CF"/>
    <w:rsid w:val="008D43D9"/>
    <w:rsid w:val="008D4AD0"/>
    <w:rsid w:val="008D51AE"/>
    <w:rsid w:val="00922885"/>
    <w:rsid w:val="00927C56"/>
    <w:rsid w:val="00933A44"/>
    <w:rsid w:val="009469DD"/>
    <w:rsid w:val="009555F3"/>
    <w:rsid w:val="00960790"/>
    <w:rsid w:val="00964F56"/>
    <w:rsid w:val="00983F7F"/>
    <w:rsid w:val="00990DF3"/>
    <w:rsid w:val="00997CC4"/>
    <w:rsid w:val="009A2C27"/>
    <w:rsid w:val="009A36EB"/>
    <w:rsid w:val="009A3D18"/>
    <w:rsid w:val="009A6872"/>
    <w:rsid w:val="009A6AA4"/>
    <w:rsid w:val="009B461B"/>
    <w:rsid w:val="009E1D83"/>
    <w:rsid w:val="009E2C61"/>
    <w:rsid w:val="009E324F"/>
    <w:rsid w:val="009E486E"/>
    <w:rsid w:val="009F13A3"/>
    <w:rsid w:val="009F2A8E"/>
    <w:rsid w:val="00A061AF"/>
    <w:rsid w:val="00A11498"/>
    <w:rsid w:val="00A32282"/>
    <w:rsid w:val="00A34EE4"/>
    <w:rsid w:val="00A523F9"/>
    <w:rsid w:val="00A65C6A"/>
    <w:rsid w:val="00A71EAA"/>
    <w:rsid w:val="00A83C1F"/>
    <w:rsid w:val="00AA3C13"/>
    <w:rsid w:val="00AA4750"/>
    <w:rsid w:val="00AB05F0"/>
    <w:rsid w:val="00AC17A6"/>
    <w:rsid w:val="00AC3624"/>
    <w:rsid w:val="00AC7EFB"/>
    <w:rsid w:val="00AD4C43"/>
    <w:rsid w:val="00AE02FD"/>
    <w:rsid w:val="00AE2A4C"/>
    <w:rsid w:val="00AE4F08"/>
    <w:rsid w:val="00B37A89"/>
    <w:rsid w:val="00B56FBB"/>
    <w:rsid w:val="00B65207"/>
    <w:rsid w:val="00B65A68"/>
    <w:rsid w:val="00B66F3D"/>
    <w:rsid w:val="00B80E8E"/>
    <w:rsid w:val="00B96A99"/>
    <w:rsid w:val="00BA7B4E"/>
    <w:rsid w:val="00BC2E96"/>
    <w:rsid w:val="00BC6CB1"/>
    <w:rsid w:val="00BD2752"/>
    <w:rsid w:val="00BE505C"/>
    <w:rsid w:val="00BF4753"/>
    <w:rsid w:val="00C053B3"/>
    <w:rsid w:val="00C165D2"/>
    <w:rsid w:val="00C47DE6"/>
    <w:rsid w:val="00C51CEC"/>
    <w:rsid w:val="00C53AF3"/>
    <w:rsid w:val="00C53B0B"/>
    <w:rsid w:val="00C53C8D"/>
    <w:rsid w:val="00C5637A"/>
    <w:rsid w:val="00C739D4"/>
    <w:rsid w:val="00C7467B"/>
    <w:rsid w:val="00C84D72"/>
    <w:rsid w:val="00C91469"/>
    <w:rsid w:val="00CC1EE6"/>
    <w:rsid w:val="00CC2172"/>
    <w:rsid w:val="00CC37C4"/>
    <w:rsid w:val="00CD0491"/>
    <w:rsid w:val="00CD1D4C"/>
    <w:rsid w:val="00CE1E84"/>
    <w:rsid w:val="00D05498"/>
    <w:rsid w:val="00D34986"/>
    <w:rsid w:val="00D42D4D"/>
    <w:rsid w:val="00D43B63"/>
    <w:rsid w:val="00D559E3"/>
    <w:rsid w:val="00D64780"/>
    <w:rsid w:val="00D6597A"/>
    <w:rsid w:val="00D82956"/>
    <w:rsid w:val="00D82CF8"/>
    <w:rsid w:val="00D97500"/>
    <w:rsid w:val="00DC0984"/>
    <w:rsid w:val="00DC3A0C"/>
    <w:rsid w:val="00DC4412"/>
    <w:rsid w:val="00DD5AC4"/>
    <w:rsid w:val="00DE5ACA"/>
    <w:rsid w:val="00E12E87"/>
    <w:rsid w:val="00E14022"/>
    <w:rsid w:val="00E15889"/>
    <w:rsid w:val="00E15EB7"/>
    <w:rsid w:val="00E5214C"/>
    <w:rsid w:val="00E53C99"/>
    <w:rsid w:val="00E65021"/>
    <w:rsid w:val="00E845E7"/>
    <w:rsid w:val="00E84CFF"/>
    <w:rsid w:val="00E86C98"/>
    <w:rsid w:val="00E91E5B"/>
    <w:rsid w:val="00E9385A"/>
    <w:rsid w:val="00E95348"/>
    <w:rsid w:val="00EA2183"/>
    <w:rsid w:val="00EB3A6C"/>
    <w:rsid w:val="00EC6C67"/>
    <w:rsid w:val="00ED349D"/>
    <w:rsid w:val="00ED5635"/>
    <w:rsid w:val="00EE46B0"/>
    <w:rsid w:val="00EF3AAD"/>
    <w:rsid w:val="00EF79EB"/>
    <w:rsid w:val="00F237B8"/>
    <w:rsid w:val="00F246D0"/>
    <w:rsid w:val="00F26061"/>
    <w:rsid w:val="00F3137A"/>
    <w:rsid w:val="00F32EFC"/>
    <w:rsid w:val="00F351FC"/>
    <w:rsid w:val="00F35FA7"/>
    <w:rsid w:val="00F44C67"/>
    <w:rsid w:val="00F57804"/>
    <w:rsid w:val="00F603B9"/>
    <w:rsid w:val="00F7051C"/>
    <w:rsid w:val="00F727C0"/>
    <w:rsid w:val="00F72958"/>
    <w:rsid w:val="00F773C3"/>
    <w:rsid w:val="00F77C0B"/>
    <w:rsid w:val="00F94E26"/>
    <w:rsid w:val="00F967C8"/>
    <w:rsid w:val="00FA1F9E"/>
    <w:rsid w:val="00FA205A"/>
    <w:rsid w:val="00FB3D29"/>
    <w:rsid w:val="00FC3DD8"/>
    <w:rsid w:val="00FC5E72"/>
    <w:rsid w:val="00FC6BAB"/>
    <w:rsid w:val="00FD07C4"/>
    <w:rsid w:val="00FE5708"/>
    <w:rsid w:val="00FF58EF"/>
    <w:rsid w:val="01421E2F"/>
    <w:rsid w:val="02207A55"/>
    <w:rsid w:val="024F3CD3"/>
    <w:rsid w:val="027D2D6F"/>
    <w:rsid w:val="033E2DF4"/>
    <w:rsid w:val="038D6376"/>
    <w:rsid w:val="0535501C"/>
    <w:rsid w:val="06032AA5"/>
    <w:rsid w:val="06A80041"/>
    <w:rsid w:val="06BB4335"/>
    <w:rsid w:val="07082C55"/>
    <w:rsid w:val="07157FCA"/>
    <w:rsid w:val="082B14C3"/>
    <w:rsid w:val="08866FF0"/>
    <w:rsid w:val="08B27CB4"/>
    <w:rsid w:val="0AE31D33"/>
    <w:rsid w:val="0BBB2AD1"/>
    <w:rsid w:val="0C16330F"/>
    <w:rsid w:val="0CF31777"/>
    <w:rsid w:val="0E0678A6"/>
    <w:rsid w:val="0ED21557"/>
    <w:rsid w:val="0F011848"/>
    <w:rsid w:val="110F42A1"/>
    <w:rsid w:val="128C7ACE"/>
    <w:rsid w:val="148465FF"/>
    <w:rsid w:val="14AC3BF4"/>
    <w:rsid w:val="1514512C"/>
    <w:rsid w:val="153E740E"/>
    <w:rsid w:val="1571032D"/>
    <w:rsid w:val="15F34D7E"/>
    <w:rsid w:val="1A4F0ED2"/>
    <w:rsid w:val="1A5D3A71"/>
    <w:rsid w:val="1A7E2EE4"/>
    <w:rsid w:val="1BA25AB8"/>
    <w:rsid w:val="1C414D36"/>
    <w:rsid w:val="1C6A7406"/>
    <w:rsid w:val="1D296D30"/>
    <w:rsid w:val="1DB93609"/>
    <w:rsid w:val="1F866400"/>
    <w:rsid w:val="1FE936C0"/>
    <w:rsid w:val="212A0F9B"/>
    <w:rsid w:val="21652032"/>
    <w:rsid w:val="21FF345A"/>
    <w:rsid w:val="22705633"/>
    <w:rsid w:val="2346540E"/>
    <w:rsid w:val="26A02069"/>
    <w:rsid w:val="27915BE7"/>
    <w:rsid w:val="27F677A2"/>
    <w:rsid w:val="282F2D12"/>
    <w:rsid w:val="28F711D1"/>
    <w:rsid w:val="296D1FB2"/>
    <w:rsid w:val="296F0B70"/>
    <w:rsid w:val="2B6E306A"/>
    <w:rsid w:val="2C5129C0"/>
    <w:rsid w:val="2D8B53BA"/>
    <w:rsid w:val="30B9145F"/>
    <w:rsid w:val="31F60247"/>
    <w:rsid w:val="32454049"/>
    <w:rsid w:val="32DC77A3"/>
    <w:rsid w:val="33606A81"/>
    <w:rsid w:val="33805A79"/>
    <w:rsid w:val="34DA5B18"/>
    <w:rsid w:val="34E85DFA"/>
    <w:rsid w:val="357C14F7"/>
    <w:rsid w:val="35FA3CF9"/>
    <w:rsid w:val="361E3FE4"/>
    <w:rsid w:val="38330D04"/>
    <w:rsid w:val="39D35143"/>
    <w:rsid w:val="3A356ED1"/>
    <w:rsid w:val="3D1B43D1"/>
    <w:rsid w:val="3D6A3CBF"/>
    <w:rsid w:val="3EBE79F9"/>
    <w:rsid w:val="41480AB2"/>
    <w:rsid w:val="428C6C68"/>
    <w:rsid w:val="44453EB7"/>
    <w:rsid w:val="45B207F1"/>
    <w:rsid w:val="464B2657"/>
    <w:rsid w:val="46EA08A4"/>
    <w:rsid w:val="46F62240"/>
    <w:rsid w:val="474053FB"/>
    <w:rsid w:val="4756007C"/>
    <w:rsid w:val="47635552"/>
    <w:rsid w:val="48A13F46"/>
    <w:rsid w:val="48EA1E5F"/>
    <w:rsid w:val="490D3920"/>
    <w:rsid w:val="4A543E05"/>
    <w:rsid w:val="4EFB3B81"/>
    <w:rsid w:val="50FF7AD6"/>
    <w:rsid w:val="51AB4B02"/>
    <w:rsid w:val="53663F57"/>
    <w:rsid w:val="53B43835"/>
    <w:rsid w:val="54206625"/>
    <w:rsid w:val="54A34228"/>
    <w:rsid w:val="564E2368"/>
    <w:rsid w:val="56627D70"/>
    <w:rsid w:val="56854832"/>
    <w:rsid w:val="569B7BA2"/>
    <w:rsid w:val="575963D3"/>
    <w:rsid w:val="59EE0F38"/>
    <w:rsid w:val="5C625612"/>
    <w:rsid w:val="5C873951"/>
    <w:rsid w:val="5DA75294"/>
    <w:rsid w:val="5E0C2EA9"/>
    <w:rsid w:val="623D00BA"/>
    <w:rsid w:val="6412420E"/>
    <w:rsid w:val="645C484F"/>
    <w:rsid w:val="64600235"/>
    <w:rsid w:val="657335C5"/>
    <w:rsid w:val="68A7020D"/>
    <w:rsid w:val="69026F26"/>
    <w:rsid w:val="690F339D"/>
    <w:rsid w:val="69BF1D5D"/>
    <w:rsid w:val="69C65F6F"/>
    <w:rsid w:val="6A15179B"/>
    <w:rsid w:val="6BEC471A"/>
    <w:rsid w:val="6CAE256C"/>
    <w:rsid w:val="6D780433"/>
    <w:rsid w:val="6D7D3EFE"/>
    <w:rsid w:val="6DD51FBA"/>
    <w:rsid w:val="6E7474D3"/>
    <w:rsid w:val="6E8B7BCF"/>
    <w:rsid w:val="6FC622AE"/>
    <w:rsid w:val="6FC727F7"/>
    <w:rsid w:val="72787366"/>
    <w:rsid w:val="728C66E6"/>
    <w:rsid w:val="72BD0530"/>
    <w:rsid w:val="73483885"/>
    <w:rsid w:val="74EB708D"/>
    <w:rsid w:val="750629B0"/>
    <w:rsid w:val="758C0572"/>
    <w:rsid w:val="76496A2D"/>
    <w:rsid w:val="78181CFE"/>
    <w:rsid w:val="782C47FC"/>
    <w:rsid w:val="7A382A19"/>
    <w:rsid w:val="7AAD44B1"/>
    <w:rsid w:val="7E023EB1"/>
    <w:rsid w:val="7E94162E"/>
    <w:rsid w:val="7F4B61A8"/>
    <w:rsid w:val="7F7117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link w:val="7"/>
    <w:semiHidden/>
    <w:qFormat/>
    <w:uiPriority w:val="0"/>
    <w:rPr>
      <w:rFonts w:ascii="Verdana" w:hAnsi="Verdana"/>
      <w:kern w:val="0"/>
      <w:sz w:val="20"/>
      <w:lang w:eastAsia="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 Char Char"/>
    <w:basedOn w:val="1"/>
    <w:link w:val="6"/>
    <w:qFormat/>
    <w:uiPriority w:val="0"/>
    <w:pPr>
      <w:widowControl/>
      <w:spacing w:after="160" w:line="240" w:lineRule="exact"/>
      <w:jc w:val="left"/>
    </w:pPr>
    <w:rPr>
      <w:rFonts w:ascii="Verdana" w:hAnsi="Verdana"/>
      <w:kern w:val="0"/>
      <w:sz w:val="20"/>
      <w:lang w:eastAsia="en-US"/>
    </w:rPr>
  </w:style>
  <w:style w:type="character" w:styleId="8">
    <w:name w:val="page number"/>
    <w:basedOn w:val="6"/>
    <w:qFormat/>
    <w:uiPriority w:val="0"/>
  </w:style>
  <w:style w:type="paragraph" w:customStyle="1" w:styleId="9">
    <w:name w:val="Char"/>
    <w:basedOn w:val="1"/>
    <w:qFormat/>
    <w:uiPriority w:val="0"/>
    <w:rPr>
      <w:rFonts w:ascii="Times New Roman" w:hAnsi="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2002</Words>
  <Characters>2189</Characters>
  <Lines>16</Lines>
  <Paragraphs>4</Paragraphs>
  <TotalTime>4</TotalTime>
  <ScaleCrop>false</ScaleCrop>
  <LinksUpToDate>false</LinksUpToDate>
  <CharactersWithSpaces>2297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2024-04-22T02:01:00Z</dcterms:created>
  <dc:creator>陈永威</dc:creator>
  <cp:lastModifiedBy>鲍铭琴</cp:lastModifiedBy>
  <cp:lastPrinted>2025-10-15T07:42:00Z</cp:lastPrinted>
  <dcterms:modified xsi:type="dcterms:W3CDTF">2025-10-20T01:58:42Z</dcterms:modified>
  <dc:title>莆田市工商行政管理局发文稿纸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EEE2EC7AF0D540829C37C36541D1BE16</vt:lpwstr>
  </property>
</Properties>
</file>