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D6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cs="方正小标宋简体"/>
          <w:sz w:val="44"/>
          <w:szCs w:val="44"/>
        </w:rPr>
      </w:pPr>
      <w:r>
        <w:rPr>
          <w:rFonts w:hint="eastAsia" w:eastAsia="方正小标宋简体" w:cs="方正小标宋简体"/>
          <w:sz w:val="44"/>
          <w:szCs w:val="44"/>
        </w:rPr>
        <w:t>莆田市涵江区市场监督管理局</w:t>
      </w:r>
    </w:p>
    <w:p w14:paraId="34F3E5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highlight w:val="none"/>
        </w:rPr>
      </w:pPr>
      <w:r>
        <w:rPr>
          <w:rFonts w:hint="eastAsia" w:eastAsia="方正小标宋简体" w:cs="方正小标宋简体"/>
          <w:sz w:val="44"/>
          <w:szCs w:val="44"/>
          <w:highlight w:val="none"/>
        </w:rPr>
        <w:t>行政处罚决定书</w:t>
      </w:r>
    </w:p>
    <w:p w14:paraId="1A4E56F7">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仿宋_GB2312" w:hAnsi="仿宋_GB2312" w:eastAsia="仿宋_GB2312"/>
          <w:spacing w:val="-3"/>
          <w:sz w:val="32"/>
          <w:szCs w:val="32"/>
        </w:rPr>
      </w:pPr>
      <w:r>
        <w:rPr>
          <w:rFonts w:hint="eastAsia" w:ascii="仿宋_GB2312" w:hAnsi="仿宋_GB2312" w:eastAsia="仿宋_GB2312"/>
          <w:spacing w:val="-3"/>
          <w:sz w:val="32"/>
          <w:szCs w:val="32"/>
          <w:lang w:eastAsia="zh-CN"/>
        </w:rPr>
        <w:t>涵</w:t>
      </w:r>
      <w:r>
        <w:rPr>
          <w:rFonts w:hint="eastAsia" w:ascii="仿宋_GB2312" w:hAnsi="仿宋_GB2312" w:eastAsia="仿宋_GB2312"/>
          <w:spacing w:val="-3"/>
          <w:sz w:val="32"/>
          <w:szCs w:val="32"/>
        </w:rPr>
        <w:t>市监</w:t>
      </w:r>
      <w:r>
        <w:rPr>
          <w:rFonts w:hint="eastAsia" w:ascii="仿宋_GB2312" w:hAnsi="仿宋_GB2312" w:eastAsia="仿宋_GB2312"/>
          <w:spacing w:val="-3"/>
          <w:sz w:val="32"/>
          <w:szCs w:val="32"/>
          <w:lang w:eastAsia="zh-CN"/>
        </w:rPr>
        <w:t>处罚</w:t>
      </w:r>
      <w:r>
        <w:rPr>
          <w:rFonts w:hint="eastAsia" w:ascii="仿宋_GB2312" w:hAnsi="仿宋_GB2312" w:eastAsia="仿宋_GB2312"/>
          <w:spacing w:val="-3"/>
          <w:sz w:val="32"/>
          <w:szCs w:val="32"/>
        </w:rPr>
        <w:t>〔202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〕06030001号</w:t>
      </w:r>
    </w:p>
    <w:p w14:paraId="7968B16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sz w:val="32"/>
          <w:szCs w:val="32"/>
          <w:lang w:eastAsia="zh-CN"/>
        </w:rPr>
      </w:pPr>
      <w:r>
        <w:rPr>
          <w:rFonts w:hint="eastAsia" w:ascii="仿宋_GB2312" w:hAnsi="仿宋_GB2312" w:eastAsia="仿宋_GB2312"/>
          <w:spacing w:val="-3"/>
          <w:sz w:val="32"/>
          <w:szCs w:val="32"/>
          <w:highlight w:val="none"/>
        </w:rPr>
        <w:t>当事人：</w:t>
      </w:r>
      <w:r>
        <w:rPr>
          <w:rFonts w:hint="eastAsia" w:ascii="仿宋_GB2312" w:hAnsi="仿宋_GB2312" w:eastAsia="仿宋_GB2312"/>
          <w:sz w:val="32"/>
          <w:szCs w:val="32"/>
          <w:lang w:eastAsia="zh-CN"/>
        </w:rPr>
        <w:t>刘斌</w:t>
      </w:r>
    </w:p>
    <w:p w14:paraId="450409A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pacing w:val="-3"/>
          <w:sz w:val="32"/>
          <w:szCs w:val="32"/>
          <w:highlight w:val="none"/>
        </w:rPr>
        <w:t>公民身份号码：</w:t>
      </w:r>
      <w:r>
        <w:rPr>
          <w:rFonts w:hint="eastAsia" w:ascii="仿宋_GB2312" w:hAnsi="仿宋_GB2312" w:eastAsia="仿宋_GB2312"/>
          <w:sz w:val="32"/>
          <w:szCs w:val="32"/>
          <w:lang w:val="en-US" w:eastAsia="zh-CN"/>
        </w:rPr>
        <w:t>***</w:t>
      </w:r>
    </w:p>
    <w:p w14:paraId="5118CA7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pacing w:val="-3"/>
          <w:sz w:val="32"/>
          <w:szCs w:val="32"/>
          <w:highlight w:val="none"/>
        </w:rPr>
        <w:t>联系电话：</w:t>
      </w:r>
      <w:r>
        <w:rPr>
          <w:rFonts w:hint="eastAsia" w:ascii="仿宋_GB2312" w:hAnsi="仿宋_GB2312" w:eastAsia="仿宋_GB2312"/>
          <w:sz w:val="32"/>
          <w:szCs w:val="32"/>
          <w:lang w:val="en-US" w:eastAsia="zh-CN"/>
        </w:rPr>
        <w:t>***</w:t>
      </w:r>
    </w:p>
    <w:p w14:paraId="2762562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sz w:val="32"/>
          <w:szCs w:val="32"/>
          <w:highlight w:val="none"/>
        </w:rPr>
      </w:pPr>
      <w:r>
        <w:rPr>
          <w:rFonts w:hint="eastAsia" w:ascii="仿宋_GB2312" w:hAnsi="仿宋_GB2312" w:eastAsia="仿宋_GB2312"/>
          <w:spacing w:val="-3"/>
          <w:sz w:val="32"/>
          <w:szCs w:val="32"/>
          <w:highlight w:val="none"/>
        </w:rPr>
        <w:t>联系地址：</w:t>
      </w:r>
      <w:r>
        <w:rPr>
          <w:rFonts w:hint="eastAsia" w:ascii="仿宋_GB2312" w:hAnsi="仿宋_GB2312" w:eastAsia="仿宋_GB2312"/>
          <w:sz w:val="32"/>
          <w:szCs w:val="32"/>
          <w:lang w:val="en-US" w:eastAsia="zh-CN"/>
        </w:rPr>
        <w:t>***</w:t>
      </w:r>
    </w:p>
    <w:p w14:paraId="533B50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rPr>
      </w:pPr>
      <w:bookmarkStart w:id="0" w:name="_GoBack"/>
      <w:bookmarkEnd w:id="0"/>
      <w:r>
        <w:rPr>
          <w:rFonts w:hint="eastAsia" w:ascii="Times New Roman" w:hAnsi="Times New Roman" w:eastAsia="仿宋_GB2312" w:cs="仿宋_GB2312"/>
          <w:b w:val="0"/>
          <w:bCs/>
          <w:sz w:val="32"/>
          <w:szCs w:val="32"/>
        </w:rPr>
        <w:t>202</w:t>
      </w:r>
      <w:r>
        <w:rPr>
          <w:rFonts w:hint="eastAsia" w:ascii="Times New Roman" w:hAnsi="Times New Roman" w:eastAsia="仿宋_GB2312" w:cs="仿宋_GB2312"/>
          <w:b w:val="0"/>
          <w:bCs/>
          <w:sz w:val="32"/>
          <w:szCs w:val="32"/>
          <w:lang w:val="en-US" w:eastAsia="zh-CN"/>
        </w:rPr>
        <w:t>5</w:t>
      </w:r>
      <w:r>
        <w:rPr>
          <w:rFonts w:hint="eastAsia" w:ascii="Times New Roman" w:hAnsi="Times New Roman" w:eastAsia="仿宋_GB2312" w:cs="仿宋_GB2312"/>
          <w:b w:val="0"/>
          <w:bCs/>
          <w:sz w:val="32"/>
          <w:szCs w:val="32"/>
        </w:rPr>
        <w:t>年</w:t>
      </w:r>
      <w:r>
        <w:rPr>
          <w:rFonts w:hint="eastAsia" w:ascii="Times New Roman" w:hAnsi="Times New Roman" w:eastAsia="仿宋_GB2312" w:cs="仿宋_GB2312"/>
          <w:b w:val="0"/>
          <w:bCs/>
          <w:sz w:val="32"/>
          <w:szCs w:val="32"/>
          <w:lang w:val="en-US" w:eastAsia="zh-CN"/>
        </w:rPr>
        <w:t>6</w:t>
      </w:r>
      <w:r>
        <w:rPr>
          <w:rFonts w:hint="eastAsia" w:ascii="Times New Roman" w:hAnsi="Times New Roman" w:eastAsia="仿宋_GB2312" w:cs="仿宋_GB2312"/>
          <w:b w:val="0"/>
          <w:bCs/>
          <w:sz w:val="32"/>
          <w:szCs w:val="32"/>
        </w:rPr>
        <w:t>月</w:t>
      </w:r>
      <w:r>
        <w:rPr>
          <w:rFonts w:hint="eastAsia" w:ascii="Times New Roman" w:hAnsi="Times New Roman" w:eastAsia="仿宋_GB2312" w:cs="仿宋_GB2312"/>
          <w:b w:val="0"/>
          <w:bCs/>
          <w:sz w:val="32"/>
          <w:szCs w:val="32"/>
          <w:lang w:val="en-US" w:eastAsia="zh-CN"/>
        </w:rPr>
        <w:t>3</w:t>
      </w:r>
      <w:r>
        <w:rPr>
          <w:rFonts w:hint="eastAsia" w:ascii="Times New Roman" w:hAnsi="Times New Roman" w:eastAsia="仿宋_GB2312" w:cs="仿宋_GB2312"/>
          <w:b w:val="0"/>
          <w:bCs/>
          <w:sz w:val="32"/>
          <w:szCs w:val="32"/>
        </w:rPr>
        <w:t>日，本局根据群众举报，依法对位于涵江区国欢镇洞庭村大墓顶220号的</w:t>
      </w:r>
      <w:r>
        <w:rPr>
          <w:rFonts w:hint="eastAsia" w:ascii="Times New Roman" w:hAnsi="Times New Roman" w:eastAsia="仿宋_GB2312" w:cs="仿宋_GB2312"/>
          <w:b w:val="0"/>
          <w:bCs/>
          <w:sz w:val="32"/>
          <w:szCs w:val="32"/>
          <w:lang w:eastAsia="zh-CN"/>
        </w:rPr>
        <w:t>由刘斌经营的</w:t>
      </w:r>
      <w:r>
        <w:rPr>
          <w:rFonts w:hint="eastAsia" w:ascii="Times New Roman" w:hAnsi="Times New Roman" w:eastAsia="仿宋_GB2312" w:cs="仿宋_GB2312"/>
          <w:b w:val="0"/>
          <w:bCs/>
          <w:sz w:val="32"/>
          <w:szCs w:val="32"/>
        </w:rPr>
        <w:t>鞋面加工厂进行现场检查，现场检查发现</w:t>
      </w:r>
      <w:r>
        <w:rPr>
          <w:rFonts w:hint="eastAsia" w:ascii="仿宋_GB2312" w:hAnsi="仿宋_GB2312" w:eastAsia="仿宋_GB2312" w:cs="仿宋_GB2312"/>
          <w:b w:val="0"/>
          <w:bCs/>
          <w:sz w:val="32"/>
          <w:szCs w:val="32"/>
        </w:rPr>
        <w:t>当事人加工标有“耐克勾形”注册商标半成品鞋面246双、标有“Onitsuka Tiger”注册商标半成品鞋面267双，以及无标识的鞋面。当事人现场无法提供营业执照，也无法提供“耐克勾形”注册商标所有人和“Onitsuka Tiger”注册商标所有人的合法授权材料。经核查，当事人的行为涉嫌违反《中华人民共和国市场主体登记管理条例》第三条及《中华人民共和国商标法》第五十七条的有关规定。经局领导批准，本局予以立案调查。</w:t>
      </w:r>
    </w:p>
    <w:p w14:paraId="114D8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2025年6月17日，</w:t>
      </w:r>
      <w:r>
        <w:rPr>
          <w:rFonts w:hint="eastAsia" w:ascii="仿宋_GB2312" w:hAnsi="仿宋_GB2312" w:eastAsia="仿宋_GB2312" w:cs="仿宋_GB2312"/>
          <w:b w:val="0"/>
          <w:bCs/>
          <w:sz w:val="32"/>
          <w:szCs w:val="32"/>
        </w:rPr>
        <w:t>本局根据群众举报，依法对位于涵江区国欢镇洞庭村大墓顶220号的</w:t>
      </w:r>
      <w:r>
        <w:rPr>
          <w:rFonts w:hint="eastAsia" w:ascii="仿宋_GB2312" w:hAnsi="仿宋_GB2312" w:eastAsia="仿宋_GB2312" w:cs="仿宋_GB2312"/>
          <w:b w:val="0"/>
          <w:bCs/>
          <w:sz w:val="32"/>
          <w:szCs w:val="32"/>
          <w:lang w:eastAsia="zh-CN"/>
        </w:rPr>
        <w:t>由刘斌经营的</w:t>
      </w:r>
      <w:r>
        <w:rPr>
          <w:rFonts w:hint="eastAsia" w:ascii="仿宋_GB2312" w:hAnsi="仿宋_GB2312" w:eastAsia="仿宋_GB2312" w:cs="仿宋_GB2312"/>
          <w:b w:val="0"/>
          <w:bCs/>
          <w:sz w:val="32"/>
          <w:szCs w:val="32"/>
        </w:rPr>
        <w:t>鞋面加工厂</w:t>
      </w:r>
      <w:r>
        <w:rPr>
          <w:rFonts w:hint="eastAsia" w:ascii="仿宋_GB2312" w:hAnsi="仿宋_GB2312" w:eastAsia="仿宋_GB2312" w:cs="仿宋_GB2312"/>
          <w:b w:val="0"/>
          <w:bCs/>
          <w:sz w:val="32"/>
          <w:szCs w:val="32"/>
          <w:lang w:eastAsia="zh-CN"/>
        </w:rPr>
        <w:t>再次</w:t>
      </w:r>
      <w:r>
        <w:rPr>
          <w:rFonts w:hint="eastAsia" w:ascii="仿宋_GB2312" w:hAnsi="仿宋_GB2312" w:eastAsia="仿宋_GB2312" w:cs="仿宋_GB2312"/>
          <w:b w:val="0"/>
          <w:bCs/>
          <w:sz w:val="32"/>
          <w:szCs w:val="32"/>
        </w:rPr>
        <w:t>进行现场检查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现场检查发现当事人</w:t>
      </w:r>
      <w:r>
        <w:rPr>
          <w:rFonts w:hint="eastAsia" w:ascii="仿宋_GB2312" w:hAnsi="仿宋_GB2312" w:eastAsia="仿宋_GB2312" w:cs="仿宋_GB2312"/>
          <w:b w:val="0"/>
          <w:bCs/>
          <w:sz w:val="32"/>
          <w:szCs w:val="32"/>
          <w:lang w:eastAsia="zh-CN"/>
        </w:rPr>
        <w:t>仍有加工</w:t>
      </w:r>
      <w:r>
        <w:rPr>
          <w:rFonts w:hint="eastAsia" w:ascii="仿宋_GB2312" w:hAnsi="仿宋_GB2312" w:eastAsia="仿宋_GB2312" w:cs="仿宋_GB2312"/>
          <w:b w:val="0"/>
          <w:bCs/>
          <w:sz w:val="32"/>
          <w:szCs w:val="32"/>
          <w:lang w:val="en-US" w:eastAsia="zh-CN"/>
        </w:rPr>
        <w:t>59双</w:t>
      </w:r>
      <w:r>
        <w:rPr>
          <w:rFonts w:hint="eastAsia" w:ascii="仿宋_GB2312" w:hAnsi="仿宋_GB2312" w:eastAsia="仿宋_GB2312" w:cs="仿宋_GB2312"/>
          <w:b w:val="0"/>
          <w:bCs/>
          <w:sz w:val="32"/>
          <w:szCs w:val="32"/>
          <w:lang w:eastAsia="zh-CN"/>
        </w:rPr>
        <w:t>标有“耐克勾形”</w:t>
      </w:r>
      <w:r>
        <w:rPr>
          <w:rFonts w:hint="eastAsia" w:ascii="仿宋_GB2312" w:hAnsi="仿宋_GB2312" w:eastAsia="仿宋_GB2312" w:cs="仿宋_GB2312"/>
          <w:b w:val="0"/>
          <w:bCs/>
          <w:sz w:val="32"/>
          <w:szCs w:val="32"/>
        </w:rPr>
        <w:t>注册商标</w:t>
      </w:r>
      <w:r>
        <w:rPr>
          <w:rFonts w:hint="eastAsia" w:ascii="仿宋_GB2312" w:hAnsi="仿宋_GB2312" w:eastAsia="仿宋_GB2312" w:cs="仿宋_GB2312"/>
          <w:b w:val="0"/>
          <w:bCs/>
          <w:sz w:val="32"/>
          <w:szCs w:val="32"/>
          <w:lang w:eastAsia="zh-CN"/>
        </w:rPr>
        <w:t>半成品鞋面以及无标识的鞋面。当事人仍无法</w:t>
      </w:r>
      <w:r>
        <w:rPr>
          <w:rFonts w:hint="eastAsia" w:ascii="仿宋_GB2312" w:hAnsi="仿宋_GB2312" w:eastAsia="仿宋_GB2312" w:cs="仿宋_GB2312"/>
          <w:b w:val="0"/>
          <w:bCs/>
          <w:sz w:val="32"/>
          <w:szCs w:val="32"/>
        </w:rPr>
        <w:t>提供营业执照，</w:t>
      </w:r>
      <w:r>
        <w:rPr>
          <w:rFonts w:hint="eastAsia" w:ascii="仿宋_GB2312" w:hAnsi="仿宋_GB2312" w:eastAsia="仿宋_GB2312" w:cs="仿宋_GB2312"/>
          <w:b w:val="0"/>
          <w:bCs/>
          <w:sz w:val="32"/>
          <w:szCs w:val="32"/>
          <w:lang w:eastAsia="zh-CN"/>
        </w:rPr>
        <w:t>也</w:t>
      </w:r>
      <w:r>
        <w:rPr>
          <w:rFonts w:hint="eastAsia" w:ascii="仿宋_GB2312" w:hAnsi="仿宋_GB2312" w:eastAsia="仿宋_GB2312" w:cs="仿宋_GB2312"/>
          <w:b w:val="0"/>
          <w:bCs/>
          <w:sz w:val="32"/>
          <w:szCs w:val="32"/>
        </w:rPr>
        <w:t>无法提供</w:t>
      </w:r>
      <w:r>
        <w:rPr>
          <w:rFonts w:hint="eastAsia" w:ascii="仿宋_GB2312" w:hAnsi="仿宋_GB2312" w:eastAsia="仿宋_GB2312" w:cs="仿宋_GB2312"/>
          <w:b w:val="0"/>
          <w:bCs/>
          <w:sz w:val="32"/>
          <w:szCs w:val="32"/>
          <w:lang w:eastAsia="zh-CN"/>
        </w:rPr>
        <w:t>“耐克勾形”</w:t>
      </w:r>
      <w:r>
        <w:rPr>
          <w:rFonts w:hint="eastAsia" w:ascii="仿宋_GB2312" w:hAnsi="仿宋_GB2312" w:eastAsia="仿宋_GB2312" w:cs="仿宋_GB2312"/>
          <w:b w:val="0"/>
          <w:bCs/>
          <w:sz w:val="32"/>
          <w:szCs w:val="32"/>
        </w:rPr>
        <w:t>注册商标所有人的合法授权材料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当事人的行为涉嫌违反《中华人民共和国市场主体登记管理条例》第三条及《中华人民共和国商标法》第五十七条的有关规定</w:t>
      </w:r>
      <w:r>
        <w:rPr>
          <w:rFonts w:hint="eastAsia" w:ascii="仿宋_GB2312" w:hAnsi="仿宋_GB2312" w:eastAsia="仿宋_GB2312" w:cs="仿宋_GB2312"/>
          <w:b w:val="0"/>
          <w:bCs/>
          <w:sz w:val="32"/>
          <w:szCs w:val="32"/>
          <w:lang w:eastAsia="zh-CN"/>
        </w:rPr>
        <w:t>，本局将该线索并案调查。</w:t>
      </w:r>
    </w:p>
    <w:p w14:paraId="31C1D941">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经查明，当事人于202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年</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月</w:t>
      </w:r>
      <w:r>
        <w:rPr>
          <w:rFonts w:hint="eastAsia" w:ascii="仿宋_GB2312" w:hAnsi="仿宋_GB2312" w:eastAsia="仿宋_GB2312"/>
          <w:spacing w:val="-3"/>
          <w:sz w:val="32"/>
          <w:szCs w:val="32"/>
          <w:lang w:eastAsia="zh-CN"/>
        </w:rPr>
        <w:t>中旬</w:t>
      </w:r>
      <w:r>
        <w:rPr>
          <w:rFonts w:hint="eastAsia" w:ascii="仿宋_GB2312" w:hAnsi="仿宋_GB2312" w:eastAsia="仿宋_GB2312"/>
          <w:spacing w:val="-3"/>
          <w:sz w:val="32"/>
          <w:szCs w:val="32"/>
        </w:rPr>
        <w:t>，在未经市场主体登记的情况下，开设鞋面加工厂从事鞋面加工经营活动，既加工无标识鞋面，也加工侵犯</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rPr>
        <w:t>注册商标专用权的半成品鞋</w:t>
      </w:r>
      <w:r>
        <w:rPr>
          <w:rFonts w:hint="eastAsia" w:ascii="仿宋_GB2312" w:hAnsi="仿宋_GB2312" w:eastAsia="仿宋_GB2312"/>
          <w:spacing w:val="-3"/>
          <w:sz w:val="32"/>
          <w:szCs w:val="32"/>
          <w:lang w:eastAsia="zh-CN"/>
        </w:rPr>
        <w:t>面和“</w:t>
      </w:r>
      <w:r>
        <w:rPr>
          <w:rFonts w:hint="eastAsia" w:ascii="仿宋_GB2312" w:hAnsi="仿宋_GB2312" w:eastAsia="仿宋_GB2312"/>
          <w:spacing w:val="-3"/>
          <w:sz w:val="32"/>
          <w:szCs w:val="32"/>
          <w:lang w:val="en-US" w:eastAsia="zh-CN"/>
        </w:rPr>
        <w:t>Onitsuka Tiger</w:t>
      </w:r>
      <w:r>
        <w:rPr>
          <w:rFonts w:hint="eastAsia" w:ascii="仿宋_GB2312" w:hAnsi="仿宋_GB2312" w:eastAsia="仿宋_GB2312"/>
          <w:spacing w:val="-3"/>
          <w:sz w:val="32"/>
          <w:szCs w:val="32"/>
          <w:lang w:eastAsia="zh-CN"/>
        </w:rPr>
        <w:t>”标识半成品鞋面</w:t>
      </w:r>
      <w:r>
        <w:rPr>
          <w:rFonts w:hint="eastAsia" w:ascii="仿宋_GB2312" w:hAnsi="仿宋_GB2312" w:eastAsia="仿宋_GB2312"/>
          <w:spacing w:val="-3"/>
          <w:sz w:val="32"/>
          <w:szCs w:val="32"/>
        </w:rPr>
        <w:t>。因当事人无法提供经营账目和相关证据，也没有建账，当事人的违法所得无法查清。</w:t>
      </w:r>
    </w:p>
    <w:p w14:paraId="4F43E63F">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rPr>
        <w:t>当事人在未经商标注册人许可的情况下，擅自</w:t>
      </w:r>
      <w:r>
        <w:rPr>
          <w:rFonts w:hint="eastAsia" w:ascii="仿宋_GB2312" w:hAnsi="仿宋_GB2312" w:eastAsia="仿宋_GB2312"/>
          <w:spacing w:val="-3"/>
          <w:sz w:val="32"/>
          <w:szCs w:val="32"/>
          <w:lang w:eastAsia="zh-CN"/>
        </w:rPr>
        <w:t>替他人</w:t>
      </w:r>
      <w:r>
        <w:rPr>
          <w:rFonts w:hint="eastAsia" w:ascii="仿宋_GB2312" w:hAnsi="仿宋_GB2312" w:eastAsia="仿宋_GB2312"/>
          <w:spacing w:val="-3"/>
          <w:sz w:val="32"/>
          <w:szCs w:val="32"/>
        </w:rPr>
        <w:t>加工标有</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rPr>
        <w:t>注册商标</w:t>
      </w:r>
      <w:r>
        <w:rPr>
          <w:rFonts w:hint="eastAsia" w:ascii="仿宋_GB2312" w:hAnsi="仿宋_GB2312" w:eastAsia="仿宋_GB2312"/>
          <w:spacing w:val="-3"/>
          <w:sz w:val="32"/>
          <w:szCs w:val="32"/>
          <w:lang w:eastAsia="zh-CN"/>
        </w:rPr>
        <w:t>及有</w:t>
      </w:r>
      <w:r>
        <w:rPr>
          <w:rFonts w:hint="eastAsia" w:ascii="仿宋_GB2312" w:hAnsi="仿宋_GB2312" w:eastAsia="仿宋_GB2312"/>
          <w:spacing w:val="-3"/>
          <w:sz w:val="32"/>
          <w:szCs w:val="32"/>
        </w:rPr>
        <w:t>标有</w:t>
      </w:r>
      <w:r>
        <w:rPr>
          <w:rFonts w:hint="eastAsia" w:ascii="仿宋_GB2312" w:hAnsi="仿宋_GB2312" w:eastAsia="仿宋_GB2312"/>
          <w:spacing w:val="-3"/>
          <w:sz w:val="32"/>
          <w:szCs w:val="32"/>
          <w:lang w:eastAsia="zh-CN"/>
        </w:rPr>
        <w:t>“</w:t>
      </w:r>
      <w:r>
        <w:rPr>
          <w:rFonts w:hint="eastAsia" w:ascii="仿宋_GB2312" w:hAnsi="仿宋_GB2312" w:eastAsia="仿宋_GB2312"/>
          <w:spacing w:val="-3"/>
          <w:sz w:val="32"/>
          <w:szCs w:val="32"/>
          <w:lang w:val="en-US" w:eastAsia="zh-CN"/>
        </w:rPr>
        <w:t>Onitsuka Tiger</w:t>
      </w:r>
      <w:r>
        <w:rPr>
          <w:rFonts w:hint="eastAsia" w:ascii="仿宋_GB2312" w:hAnsi="仿宋_GB2312" w:eastAsia="仿宋_GB2312"/>
          <w:spacing w:val="-3"/>
          <w:sz w:val="32"/>
          <w:szCs w:val="32"/>
          <w:lang w:eastAsia="zh-CN"/>
        </w:rPr>
        <w:t>”注册商标</w:t>
      </w:r>
      <w:r>
        <w:rPr>
          <w:rFonts w:hint="eastAsia" w:ascii="仿宋_GB2312" w:hAnsi="仿宋_GB2312" w:eastAsia="仿宋_GB2312"/>
          <w:spacing w:val="-3"/>
          <w:sz w:val="32"/>
          <w:szCs w:val="32"/>
        </w:rPr>
        <w:t>的半成品鞋</w:t>
      </w:r>
      <w:r>
        <w:rPr>
          <w:rFonts w:hint="eastAsia" w:ascii="仿宋_GB2312" w:hAnsi="仿宋_GB2312" w:eastAsia="仿宋_GB2312"/>
          <w:spacing w:val="-3"/>
          <w:sz w:val="32"/>
          <w:szCs w:val="32"/>
          <w:lang w:eastAsia="zh-CN"/>
        </w:rPr>
        <w:t>面</w:t>
      </w:r>
      <w:r>
        <w:rPr>
          <w:rFonts w:hint="eastAsia" w:ascii="仿宋_GB2312" w:hAnsi="仿宋_GB2312" w:eastAsia="仿宋_GB2312"/>
          <w:spacing w:val="-3"/>
          <w:sz w:val="32"/>
          <w:szCs w:val="32"/>
        </w:rPr>
        <w:t>。截至被查获，当事人</w:t>
      </w:r>
      <w:r>
        <w:rPr>
          <w:rFonts w:hint="eastAsia" w:ascii="仿宋_GB2312" w:hAnsi="仿宋_GB2312" w:eastAsia="仿宋_GB2312"/>
          <w:spacing w:val="-3"/>
          <w:sz w:val="32"/>
          <w:szCs w:val="32"/>
          <w:lang w:eastAsia="zh-CN"/>
        </w:rPr>
        <w:t>累计</w:t>
      </w:r>
      <w:r>
        <w:rPr>
          <w:rFonts w:hint="eastAsia" w:ascii="仿宋_GB2312" w:hAnsi="仿宋_GB2312" w:eastAsia="仿宋_GB2312"/>
          <w:spacing w:val="-3"/>
          <w:sz w:val="32"/>
          <w:szCs w:val="32"/>
        </w:rPr>
        <w:t>加工标有</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rPr>
        <w:t>注册商标标识的半成品鞋</w:t>
      </w:r>
      <w:r>
        <w:rPr>
          <w:rFonts w:hint="eastAsia" w:ascii="仿宋_GB2312" w:hAnsi="仿宋_GB2312" w:eastAsia="仿宋_GB2312"/>
          <w:spacing w:val="-3"/>
          <w:sz w:val="32"/>
          <w:szCs w:val="32"/>
          <w:lang w:eastAsia="zh-CN"/>
        </w:rPr>
        <w:t>面</w:t>
      </w:r>
      <w:r>
        <w:rPr>
          <w:rFonts w:hint="eastAsia" w:ascii="仿宋_GB2312" w:hAnsi="仿宋_GB2312" w:eastAsia="仿宋_GB2312"/>
          <w:spacing w:val="-3"/>
          <w:sz w:val="32"/>
          <w:szCs w:val="32"/>
          <w:lang w:val="en-US" w:eastAsia="zh-CN"/>
        </w:rPr>
        <w:t>305</w:t>
      </w:r>
      <w:r>
        <w:rPr>
          <w:rFonts w:hint="eastAsia" w:ascii="仿宋_GB2312" w:hAnsi="仿宋_GB2312" w:eastAsia="仿宋_GB2312"/>
          <w:spacing w:val="-3"/>
          <w:sz w:val="32"/>
          <w:szCs w:val="32"/>
          <w:lang w:eastAsia="zh-CN"/>
        </w:rPr>
        <w:t>双</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lang w:eastAsia="zh-CN"/>
        </w:rPr>
        <w:t>约定</w:t>
      </w:r>
      <w:r>
        <w:rPr>
          <w:rFonts w:hint="eastAsia" w:ascii="仿宋_GB2312" w:hAnsi="仿宋_GB2312" w:eastAsia="仿宋_GB2312"/>
          <w:spacing w:val="-3"/>
          <w:sz w:val="32"/>
          <w:szCs w:val="32"/>
        </w:rPr>
        <w:t>每</w:t>
      </w:r>
      <w:r>
        <w:rPr>
          <w:rFonts w:hint="eastAsia" w:ascii="仿宋_GB2312" w:hAnsi="仿宋_GB2312" w:eastAsia="仿宋_GB2312"/>
          <w:spacing w:val="-3"/>
          <w:sz w:val="32"/>
          <w:szCs w:val="32"/>
          <w:lang w:eastAsia="zh-CN"/>
        </w:rPr>
        <w:t>双</w:t>
      </w:r>
      <w:r>
        <w:rPr>
          <w:rFonts w:hint="eastAsia" w:ascii="仿宋_GB2312" w:hAnsi="仿宋_GB2312" w:eastAsia="仿宋_GB2312"/>
          <w:spacing w:val="-3"/>
          <w:sz w:val="32"/>
          <w:szCs w:val="32"/>
        </w:rPr>
        <w:t>加工费</w:t>
      </w:r>
      <w:r>
        <w:rPr>
          <w:rFonts w:hint="eastAsia" w:ascii="仿宋_GB2312" w:hAnsi="仿宋_GB2312" w:eastAsia="仿宋_GB2312"/>
          <w:spacing w:val="-3"/>
          <w:sz w:val="32"/>
          <w:szCs w:val="32"/>
          <w:lang w:val="en-US" w:eastAsia="zh-CN"/>
        </w:rPr>
        <w:t>1.8</w:t>
      </w:r>
      <w:r>
        <w:rPr>
          <w:rFonts w:hint="eastAsia" w:ascii="仿宋_GB2312" w:hAnsi="仿宋_GB2312" w:eastAsia="仿宋_GB2312"/>
          <w:spacing w:val="-3"/>
          <w:sz w:val="32"/>
          <w:szCs w:val="32"/>
        </w:rPr>
        <w:t>元；</w:t>
      </w:r>
      <w:r>
        <w:rPr>
          <w:rFonts w:hint="eastAsia" w:ascii="仿宋_GB2312" w:hAnsi="仿宋_GB2312" w:eastAsia="仿宋_GB2312"/>
          <w:spacing w:val="-3"/>
          <w:sz w:val="32"/>
          <w:szCs w:val="32"/>
          <w:lang w:eastAsia="zh-CN"/>
        </w:rPr>
        <w:t>累计</w:t>
      </w:r>
      <w:r>
        <w:rPr>
          <w:rFonts w:hint="eastAsia" w:ascii="仿宋_GB2312" w:hAnsi="仿宋_GB2312" w:eastAsia="仿宋_GB2312"/>
          <w:spacing w:val="-3"/>
          <w:sz w:val="32"/>
          <w:szCs w:val="32"/>
        </w:rPr>
        <w:t>加工</w:t>
      </w:r>
      <w:r>
        <w:rPr>
          <w:rFonts w:hint="eastAsia" w:ascii="仿宋_GB2312" w:hAnsi="仿宋_GB2312" w:eastAsia="仿宋_GB2312"/>
          <w:spacing w:val="-3"/>
          <w:sz w:val="32"/>
          <w:szCs w:val="32"/>
          <w:lang w:eastAsia="zh-CN"/>
        </w:rPr>
        <w:t>标有“</w:t>
      </w:r>
      <w:r>
        <w:rPr>
          <w:rFonts w:hint="eastAsia" w:ascii="仿宋_GB2312" w:hAnsi="仿宋_GB2312" w:eastAsia="仿宋_GB2312"/>
          <w:spacing w:val="-3"/>
          <w:sz w:val="32"/>
          <w:szCs w:val="32"/>
          <w:lang w:val="en-US" w:eastAsia="zh-CN"/>
        </w:rPr>
        <w:t>Onitsuka Tiger</w:t>
      </w:r>
      <w:r>
        <w:rPr>
          <w:rFonts w:hint="eastAsia" w:ascii="仿宋_GB2312" w:hAnsi="仿宋_GB2312" w:eastAsia="仿宋_GB2312"/>
          <w:spacing w:val="-3"/>
          <w:sz w:val="32"/>
          <w:szCs w:val="32"/>
          <w:lang w:eastAsia="zh-CN"/>
        </w:rPr>
        <w:t>”注册商标半成品鞋面</w:t>
      </w:r>
      <w:r>
        <w:rPr>
          <w:rFonts w:hint="eastAsia" w:ascii="仿宋_GB2312" w:hAnsi="仿宋_GB2312" w:eastAsia="仿宋_GB2312"/>
          <w:spacing w:val="-3"/>
          <w:sz w:val="32"/>
          <w:szCs w:val="32"/>
          <w:lang w:val="en-US" w:eastAsia="zh-CN"/>
        </w:rPr>
        <w:t>267</w:t>
      </w:r>
      <w:r>
        <w:rPr>
          <w:rFonts w:hint="eastAsia" w:ascii="仿宋_GB2312" w:hAnsi="仿宋_GB2312" w:eastAsia="仿宋_GB2312"/>
          <w:spacing w:val="-3"/>
          <w:sz w:val="32"/>
          <w:szCs w:val="32"/>
          <w:lang w:eastAsia="zh-CN"/>
        </w:rPr>
        <w:t>双</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lang w:eastAsia="zh-CN"/>
        </w:rPr>
        <w:t>约定</w:t>
      </w:r>
      <w:r>
        <w:rPr>
          <w:rFonts w:hint="eastAsia" w:ascii="仿宋_GB2312" w:hAnsi="仿宋_GB2312" w:eastAsia="仿宋_GB2312"/>
          <w:spacing w:val="-3"/>
          <w:sz w:val="32"/>
          <w:szCs w:val="32"/>
        </w:rPr>
        <w:t>每</w:t>
      </w:r>
      <w:r>
        <w:rPr>
          <w:rFonts w:hint="eastAsia" w:ascii="仿宋_GB2312" w:hAnsi="仿宋_GB2312" w:eastAsia="仿宋_GB2312"/>
          <w:spacing w:val="-3"/>
          <w:sz w:val="32"/>
          <w:szCs w:val="32"/>
          <w:lang w:eastAsia="zh-CN"/>
        </w:rPr>
        <w:t>双</w:t>
      </w:r>
      <w:r>
        <w:rPr>
          <w:rFonts w:hint="eastAsia" w:ascii="仿宋_GB2312" w:hAnsi="仿宋_GB2312" w:eastAsia="仿宋_GB2312"/>
          <w:spacing w:val="-3"/>
          <w:sz w:val="32"/>
          <w:szCs w:val="32"/>
        </w:rPr>
        <w:t>加工费</w:t>
      </w:r>
      <w:r>
        <w:rPr>
          <w:rFonts w:hint="eastAsia" w:ascii="仿宋_GB2312" w:hAnsi="仿宋_GB2312" w:eastAsia="仿宋_GB2312"/>
          <w:spacing w:val="-3"/>
          <w:sz w:val="32"/>
          <w:szCs w:val="32"/>
          <w:lang w:val="en-US" w:eastAsia="zh-CN"/>
        </w:rPr>
        <w:t>1.8</w:t>
      </w:r>
      <w:r>
        <w:rPr>
          <w:rFonts w:hint="eastAsia" w:ascii="仿宋_GB2312" w:hAnsi="仿宋_GB2312" w:eastAsia="仿宋_GB2312"/>
          <w:spacing w:val="-3"/>
          <w:sz w:val="32"/>
          <w:szCs w:val="32"/>
        </w:rPr>
        <w:t>元</w:t>
      </w:r>
      <w:r>
        <w:rPr>
          <w:rFonts w:hint="eastAsia" w:ascii="仿宋_GB2312" w:hAnsi="仿宋_GB2312" w:eastAsia="仿宋_GB2312"/>
          <w:spacing w:val="-3"/>
          <w:sz w:val="32"/>
          <w:szCs w:val="32"/>
          <w:lang w:eastAsia="zh-CN"/>
        </w:rPr>
        <w:t>。</w:t>
      </w:r>
      <w:r>
        <w:rPr>
          <w:rFonts w:hint="eastAsia" w:ascii="仿宋_GB2312" w:hAnsi="仿宋_GB2312" w:eastAsia="仿宋_GB2312"/>
          <w:spacing w:val="-3"/>
          <w:sz w:val="32"/>
          <w:szCs w:val="32"/>
        </w:rPr>
        <w:t>按照当事人</w:t>
      </w:r>
      <w:r>
        <w:rPr>
          <w:rFonts w:hint="eastAsia" w:ascii="仿宋_GB2312" w:hAnsi="仿宋_GB2312" w:eastAsia="仿宋_GB2312"/>
          <w:spacing w:val="-3"/>
          <w:sz w:val="32"/>
          <w:szCs w:val="32"/>
          <w:lang w:eastAsia="zh-CN"/>
        </w:rPr>
        <w:t>已加工的侵权商品数量及与客户约定的加工费计算</w:t>
      </w:r>
      <w:r>
        <w:rPr>
          <w:rFonts w:hint="eastAsia" w:ascii="仿宋_GB2312" w:hAnsi="仿宋_GB2312" w:eastAsia="仿宋_GB2312"/>
          <w:spacing w:val="-3"/>
          <w:sz w:val="32"/>
          <w:szCs w:val="32"/>
        </w:rPr>
        <w:t>，当事人违法经营额共计</w:t>
      </w:r>
      <w:r>
        <w:rPr>
          <w:rFonts w:hint="eastAsia" w:ascii="仿宋_GB2312" w:hAnsi="仿宋_GB2312" w:eastAsia="仿宋_GB2312"/>
          <w:spacing w:val="-3"/>
          <w:sz w:val="32"/>
          <w:szCs w:val="32"/>
          <w:lang w:val="en-US" w:eastAsia="zh-CN"/>
        </w:rPr>
        <w:t>1029.6</w:t>
      </w:r>
      <w:r>
        <w:rPr>
          <w:rFonts w:hint="eastAsia" w:ascii="仿宋_GB2312" w:hAnsi="仿宋_GB2312" w:eastAsia="仿宋_GB2312"/>
          <w:spacing w:val="-3"/>
          <w:sz w:val="32"/>
          <w:szCs w:val="32"/>
        </w:rPr>
        <w:t>元</w:t>
      </w:r>
      <w:r>
        <w:rPr>
          <w:rFonts w:hint="eastAsia" w:ascii="仿宋_GB2312" w:hAnsi="仿宋_GB2312" w:eastAsia="仿宋_GB2312"/>
          <w:spacing w:val="-3"/>
          <w:sz w:val="32"/>
          <w:szCs w:val="32"/>
          <w:lang w:eastAsia="zh-CN"/>
        </w:rPr>
        <w:t>，因该批产品未交付，无违法所得</w:t>
      </w:r>
      <w:r>
        <w:rPr>
          <w:rFonts w:hint="eastAsia" w:ascii="仿宋_GB2312" w:hAnsi="仿宋_GB2312" w:eastAsia="仿宋_GB2312"/>
          <w:spacing w:val="-3"/>
          <w:sz w:val="32"/>
          <w:szCs w:val="32"/>
        </w:rPr>
        <w:t>。</w:t>
      </w:r>
    </w:p>
    <w:p w14:paraId="4BD87C5A">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上述事实，主要有以下证据证明：现场笔录</w:t>
      </w:r>
      <w:r>
        <w:rPr>
          <w:rFonts w:hint="eastAsia" w:ascii="仿宋_GB2312" w:hAnsi="仿宋_GB2312" w:eastAsia="仿宋_GB2312"/>
          <w:spacing w:val="-3"/>
          <w:sz w:val="32"/>
          <w:szCs w:val="32"/>
          <w:lang w:val="en-US" w:eastAsia="zh-CN"/>
        </w:rPr>
        <w:t>2</w:t>
      </w:r>
      <w:r>
        <w:rPr>
          <w:rFonts w:hint="eastAsia" w:ascii="仿宋_GB2312" w:hAnsi="仿宋_GB2312" w:eastAsia="仿宋_GB2312"/>
          <w:spacing w:val="-3"/>
          <w:sz w:val="32"/>
          <w:szCs w:val="32"/>
        </w:rPr>
        <w:t>份</w:t>
      </w:r>
      <w:r>
        <w:rPr>
          <w:rFonts w:hint="eastAsia" w:ascii="仿宋_GB2312" w:hAnsi="仿宋_GB2312" w:eastAsia="仿宋_GB2312"/>
          <w:spacing w:val="-3"/>
          <w:sz w:val="32"/>
          <w:szCs w:val="32"/>
          <w:lang w:eastAsia="zh-CN"/>
        </w:rPr>
        <w:t>、</w:t>
      </w:r>
      <w:r>
        <w:rPr>
          <w:rFonts w:hint="eastAsia" w:ascii="仿宋_GB2312" w:hAnsi="仿宋_GB2312" w:eastAsia="仿宋_GB2312"/>
          <w:spacing w:val="-3"/>
          <w:sz w:val="32"/>
          <w:szCs w:val="32"/>
        </w:rPr>
        <w:t>询问笔录1份，</w:t>
      </w:r>
      <w:r>
        <w:rPr>
          <w:rFonts w:hint="eastAsia" w:ascii="Times New Roman" w:hAnsi="Times New Roman" w:eastAsia="仿宋_GB2312" w:cs="Times New Roman"/>
          <w:sz w:val="32"/>
          <w:szCs w:val="32"/>
          <w:lang w:eastAsia="zh-CN"/>
        </w:rPr>
        <w:t>证据提取单</w:t>
      </w:r>
      <w:r>
        <w:rPr>
          <w:rFonts w:hint="eastAsia" w:ascii="Times New Roman" w:hAnsi="Times New Roman" w:eastAsia="仿宋_GB2312" w:cs="Times New Roman"/>
          <w:sz w:val="32"/>
          <w:szCs w:val="32"/>
          <w:lang w:val="en-US" w:eastAsia="zh-CN"/>
        </w:rPr>
        <w:t>1份（</w:t>
      </w:r>
      <w:r>
        <w:rPr>
          <w:rFonts w:hint="eastAsia" w:ascii="仿宋_GB2312" w:hAnsi="仿宋_GB2312" w:eastAsia="仿宋_GB2312"/>
          <w:spacing w:val="-3"/>
          <w:sz w:val="32"/>
          <w:szCs w:val="32"/>
        </w:rPr>
        <w:t>现场拍摄的检查照片</w:t>
      </w:r>
      <w:r>
        <w:rPr>
          <w:rFonts w:hint="eastAsia" w:ascii="仿宋_GB2312" w:hAnsi="仿宋_GB2312" w:eastAsia="仿宋_GB2312"/>
          <w:spacing w:val="-3"/>
          <w:sz w:val="32"/>
          <w:szCs w:val="32"/>
          <w:lang w:eastAsia="zh-CN"/>
        </w:rPr>
        <w:t>共</w:t>
      </w:r>
      <w:r>
        <w:rPr>
          <w:rFonts w:hint="eastAsia" w:ascii="仿宋_GB2312" w:hAnsi="仿宋_GB2312" w:eastAsia="仿宋_GB2312"/>
          <w:spacing w:val="-3"/>
          <w:sz w:val="32"/>
          <w:szCs w:val="32"/>
          <w:lang w:val="en-US" w:eastAsia="zh-CN"/>
        </w:rPr>
        <w:t>17</w:t>
      </w:r>
      <w:r>
        <w:rPr>
          <w:rFonts w:hint="eastAsia" w:ascii="仿宋_GB2312" w:hAnsi="仿宋_GB2312" w:eastAsia="仿宋_GB2312"/>
          <w:spacing w:val="-3"/>
          <w:sz w:val="32"/>
          <w:szCs w:val="32"/>
        </w:rPr>
        <w:t>张</w:t>
      </w:r>
      <w:r>
        <w:rPr>
          <w:rFonts w:hint="eastAsia" w:ascii="仿宋_GB2312" w:hAnsi="仿宋_GB2312" w:eastAsia="仿宋_GB2312"/>
          <w:spacing w:val="-3"/>
          <w:sz w:val="32"/>
          <w:szCs w:val="32"/>
          <w:lang w:eastAsia="zh-CN"/>
        </w:rPr>
        <w:t>）</w:t>
      </w:r>
      <w:r>
        <w:rPr>
          <w:rFonts w:hint="eastAsia" w:ascii="仿宋_GB2312" w:hAnsi="仿宋_GB2312" w:eastAsia="仿宋_GB2312"/>
          <w:spacing w:val="-3"/>
          <w:sz w:val="32"/>
          <w:szCs w:val="32"/>
        </w:rPr>
        <w:t>、</w:t>
      </w:r>
      <w:r>
        <w:rPr>
          <w:rFonts w:hint="eastAsia" w:ascii="Times New Roman" w:hAnsi="Times New Roman" w:eastAsia="仿宋_GB2312" w:cs="仿宋_GB2312"/>
          <w:b w:val="0"/>
          <w:bCs/>
          <w:color w:val="auto"/>
          <w:sz w:val="32"/>
          <w:szCs w:val="32"/>
        </w:rPr>
        <w:t>“</w:t>
      </w:r>
      <w:r>
        <w:rPr>
          <w:rFonts w:hint="eastAsia" w:ascii="Times New Roman" w:hAnsi="Times New Roman" w:eastAsia="仿宋_GB2312" w:cs="仿宋_GB2312"/>
          <w:b w:val="0"/>
          <w:bCs/>
          <w:color w:val="auto"/>
          <w:sz w:val="32"/>
          <w:szCs w:val="32"/>
          <w:lang w:eastAsia="zh-CN"/>
        </w:rPr>
        <w:t>耐克勾形</w:t>
      </w:r>
      <w:r>
        <w:rPr>
          <w:rFonts w:hint="eastAsia" w:ascii="Times New Roman" w:hAnsi="Times New Roman" w:eastAsia="仿宋_GB2312" w:cs="仿宋_GB2312"/>
          <w:b w:val="0"/>
          <w:bCs/>
          <w:color w:val="auto"/>
          <w:sz w:val="32"/>
          <w:szCs w:val="32"/>
        </w:rPr>
        <w:t>”</w:t>
      </w:r>
      <w:r>
        <w:rPr>
          <w:rFonts w:hint="eastAsia" w:ascii="Times New Roman" w:hAnsi="Times New Roman" w:eastAsia="仿宋_GB2312" w:cs="仿宋_GB2312"/>
          <w:b w:val="0"/>
          <w:bCs/>
          <w:color w:val="auto"/>
          <w:sz w:val="32"/>
          <w:szCs w:val="32"/>
          <w:lang w:eastAsia="zh-CN"/>
        </w:rPr>
        <w:t>及</w:t>
      </w:r>
      <w:r>
        <w:rPr>
          <w:rFonts w:hint="eastAsia" w:ascii="仿宋_GB2312" w:hAnsi="仿宋_GB2312" w:eastAsia="仿宋_GB2312"/>
          <w:color w:val="auto"/>
          <w:spacing w:val="-3"/>
          <w:sz w:val="32"/>
          <w:szCs w:val="32"/>
          <w:lang w:eastAsia="zh-CN"/>
        </w:rPr>
        <w:t>“</w:t>
      </w:r>
      <w:r>
        <w:rPr>
          <w:rFonts w:hint="eastAsia" w:ascii="仿宋_GB2312" w:hAnsi="仿宋_GB2312" w:eastAsia="仿宋_GB2312"/>
          <w:color w:val="auto"/>
          <w:spacing w:val="-3"/>
          <w:sz w:val="32"/>
          <w:szCs w:val="32"/>
          <w:lang w:val="en-US" w:eastAsia="zh-CN"/>
        </w:rPr>
        <w:t>Onitsuka Tiger</w:t>
      </w:r>
      <w:r>
        <w:rPr>
          <w:rFonts w:hint="eastAsia" w:ascii="仿宋_GB2312" w:hAnsi="仿宋_GB2312" w:eastAsia="仿宋_GB2312"/>
          <w:color w:val="auto"/>
          <w:spacing w:val="-3"/>
          <w:sz w:val="32"/>
          <w:szCs w:val="32"/>
          <w:lang w:eastAsia="zh-CN"/>
        </w:rPr>
        <w:t>”</w:t>
      </w:r>
      <w:r>
        <w:rPr>
          <w:rFonts w:hint="eastAsia" w:ascii="仿宋_GB2312" w:hAnsi="仿宋_GB2312" w:eastAsia="仿宋_GB2312"/>
          <w:color w:val="auto"/>
          <w:sz w:val="32"/>
          <w:szCs w:val="32"/>
          <w:highlight w:val="none"/>
        </w:rPr>
        <w:t>商标</w:t>
      </w:r>
      <w:r>
        <w:rPr>
          <w:rFonts w:hint="eastAsia" w:ascii="仿宋_GB2312" w:hAnsi="仿宋_GB2312" w:eastAsia="仿宋_GB2312"/>
          <w:color w:val="auto"/>
          <w:spacing w:val="-3"/>
          <w:sz w:val="32"/>
          <w:szCs w:val="32"/>
          <w:highlight w:val="none"/>
        </w:rPr>
        <w:t>注册</w:t>
      </w:r>
      <w:r>
        <w:rPr>
          <w:rFonts w:hint="eastAsia" w:ascii="仿宋_GB2312" w:hAnsi="仿宋_GB2312" w:eastAsia="仿宋_GB2312"/>
          <w:color w:val="auto"/>
          <w:spacing w:val="-3"/>
          <w:sz w:val="32"/>
          <w:szCs w:val="32"/>
          <w:highlight w:val="none"/>
          <w:lang w:eastAsia="zh-CN"/>
        </w:rPr>
        <w:t>证复印件各</w:t>
      </w:r>
      <w:r>
        <w:rPr>
          <w:rFonts w:hint="eastAsia" w:ascii="仿宋_GB2312" w:hAnsi="仿宋_GB2312" w:eastAsia="仿宋_GB2312"/>
          <w:color w:val="auto"/>
          <w:spacing w:val="-3"/>
          <w:sz w:val="32"/>
          <w:szCs w:val="32"/>
          <w:highlight w:val="none"/>
        </w:rPr>
        <w:t>1</w:t>
      </w:r>
      <w:r>
        <w:rPr>
          <w:rFonts w:hint="eastAsia" w:ascii="仿宋_GB2312" w:hAnsi="仿宋_GB2312" w:eastAsia="仿宋_GB2312"/>
          <w:color w:val="auto"/>
          <w:spacing w:val="-3"/>
          <w:sz w:val="32"/>
          <w:szCs w:val="32"/>
          <w:highlight w:val="none"/>
          <w:lang w:eastAsia="zh-CN"/>
        </w:rPr>
        <w:t>份</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highlight w:val="none"/>
        </w:rPr>
        <w:t>当事人的居民身份证</w:t>
      </w:r>
      <w:r>
        <w:rPr>
          <w:rFonts w:hint="eastAsia" w:ascii="仿宋_GB2312" w:hAnsi="仿宋_GB2312" w:eastAsia="仿宋_GB2312"/>
          <w:spacing w:val="-3"/>
          <w:sz w:val="32"/>
          <w:szCs w:val="32"/>
          <w:highlight w:val="none"/>
          <w:lang w:eastAsia="zh-CN"/>
        </w:rPr>
        <w:t>证据提取单</w:t>
      </w:r>
      <w:r>
        <w:rPr>
          <w:rFonts w:hint="eastAsia" w:ascii="仿宋_GB2312" w:hAnsi="仿宋_GB2312" w:eastAsia="仿宋_GB2312"/>
          <w:spacing w:val="-3"/>
          <w:sz w:val="32"/>
          <w:szCs w:val="32"/>
          <w:highlight w:val="none"/>
        </w:rPr>
        <w:t>1份</w:t>
      </w:r>
      <w:r>
        <w:rPr>
          <w:rFonts w:hint="eastAsia" w:ascii="仿宋_GB2312" w:hAnsi="仿宋_GB2312" w:eastAsia="仿宋_GB2312"/>
          <w:spacing w:val="-3"/>
          <w:sz w:val="32"/>
          <w:szCs w:val="32"/>
          <w:lang w:val="en-US" w:eastAsia="zh-CN"/>
        </w:rPr>
        <w:t>、</w:t>
      </w:r>
      <w:r>
        <w:rPr>
          <w:rFonts w:hint="eastAsia" w:ascii="仿宋_GB2312" w:hAnsi="仿宋_GB2312" w:eastAsia="仿宋_GB2312"/>
          <w:spacing w:val="-3"/>
          <w:sz w:val="32"/>
          <w:szCs w:val="32"/>
          <w:highlight w:val="none"/>
          <w:lang w:val="en-US" w:eastAsia="zh-CN"/>
        </w:rPr>
        <w:t>《送货单》3</w:t>
      </w:r>
      <w:r>
        <w:rPr>
          <w:rFonts w:hint="eastAsia" w:ascii="Times New Roman" w:hAnsi="Times New Roman" w:eastAsia="仿宋_GB2312" w:cs="Times New Roman"/>
          <w:color w:val="auto"/>
          <w:sz w:val="32"/>
          <w:szCs w:val="32"/>
          <w:highlight w:val="none"/>
          <w:lang w:val="en-US" w:eastAsia="zh-CN"/>
        </w:rPr>
        <w:t>张</w:t>
      </w:r>
      <w:r>
        <w:rPr>
          <w:rFonts w:hint="eastAsia" w:ascii="仿宋_GB2312" w:hAnsi="仿宋_GB2312" w:eastAsia="仿宋_GB2312"/>
          <w:spacing w:val="-3"/>
          <w:sz w:val="32"/>
          <w:szCs w:val="32"/>
          <w:lang w:eastAsia="zh-CN"/>
        </w:rPr>
        <w:t>等</w:t>
      </w:r>
      <w:r>
        <w:rPr>
          <w:rFonts w:hint="eastAsia" w:ascii="仿宋_GB2312" w:hAnsi="仿宋_GB2312" w:eastAsia="仿宋_GB2312"/>
          <w:spacing w:val="-3"/>
          <w:sz w:val="32"/>
          <w:szCs w:val="32"/>
        </w:rPr>
        <w:t>。</w:t>
      </w:r>
    </w:p>
    <w:p w14:paraId="7E0488C2">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本局于202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年</w:t>
      </w:r>
      <w:r>
        <w:rPr>
          <w:rFonts w:hint="eastAsia" w:ascii="仿宋_GB2312" w:hAnsi="仿宋_GB2312" w:eastAsia="仿宋_GB2312"/>
          <w:spacing w:val="-3"/>
          <w:sz w:val="32"/>
          <w:szCs w:val="32"/>
          <w:lang w:val="en-US" w:eastAsia="zh-CN"/>
        </w:rPr>
        <w:t>8</w:t>
      </w:r>
      <w:r>
        <w:rPr>
          <w:rFonts w:hint="eastAsia" w:ascii="仿宋_GB2312" w:hAnsi="仿宋_GB2312" w:eastAsia="仿宋_GB2312"/>
          <w:color w:val="auto"/>
          <w:spacing w:val="-3"/>
          <w:sz w:val="32"/>
          <w:szCs w:val="32"/>
        </w:rPr>
        <w:t>月</w:t>
      </w:r>
      <w:r>
        <w:rPr>
          <w:rFonts w:hint="eastAsia" w:ascii="仿宋_GB2312" w:hAnsi="仿宋_GB2312" w:eastAsia="仿宋_GB2312"/>
          <w:color w:val="auto"/>
          <w:spacing w:val="-3"/>
          <w:sz w:val="32"/>
          <w:szCs w:val="32"/>
          <w:lang w:val="en-US" w:eastAsia="zh-CN"/>
        </w:rPr>
        <w:t>14</w:t>
      </w:r>
      <w:r>
        <w:rPr>
          <w:rFonts w:hint="eastAsia" w:ascii="仿宋_GB2312" w:hAnsi="仿宋_GB2312" w:eastAsia="仿宋_GB2312"/>
          <w:color w:val="auto"/>
          <w:spacing w:val="-3"/>
          <w:sz w:val="32"/>
          <w:szCs w:val="32"/>
        </w:rPr>
        <w:t>日向当</w:t>
      </w:r>
      <w:r>
        <w:rPr>
          <w:rFonts w:hint="eastAsia" w:ascii="仿宋_GB2312" w:hAnsi="仿宋_GB2312" w:eastAsia="仿宋_GB2312"/>
          <w:spacing w:val="-3"/>
          <w:sz w:val="32"/>
          <w:szCs w:val="32"/>
        </w:rPr>
        <w:t>事人依法送达了《莆田市</w:t>
      </w:r>
      <w:r>
        <w:rPr>
          <w:rFonts w:hint="eastAsia" w:ascii="仿宋_GB2312" w:hAnsi="仿宋_GB2312" w:eastAsia="仿宋_GB2312"/>
          <w:spacing w:val="-3"/>
          <w:sz w:val="32"/>
          <w:szCs w:val="32"/>
          <w:lang w:eastAsia="zh-CN"/>
        </w:rPr>
        <w:t>涵江区</w:t>
      </w:r>
      <w:r>
        <w:rPr>
          <w:rFonts w:hint="eastAsia" w:ascii="仿宋_GB2312" w:hAnsi="仿宋_GB2312" w:eastAsia="仿宋_GB2312"/>
          <w:spacing w:val="-3"/>
          <w:sz w:val="32"/>
          <w:szCs w:val="32"/>
        </w:rPr>
        <w:t>市场监督管理局行政处罚告知书》（</w:t>
      </w:r>
      <w:r>
        <w:rPr>
          <w:rFonts w:hint="eastAsia" w:ascii="仿宋_GB2312" w:hAnsi="仿宋_GB2312" w:eastAsia="仿宋_GB2312"/>
          <w:spacing w:val="-3"/>
          <w:sz w:val="32"/>
          <w:szCs w:val="32"/>
          <w:lang w:eastAsia="zh-CN"/>
        </w:rPr>
        <w:t>涵</w:t>
      </w:r>
      <w:r>
        <w:rPr>
          <w:rFonts w:hint="eastAsia" w:ascii="仿宋_GB2312" w:hAnsi="仿宋_GB2312" w:eastAsia="仿宋_GB2312"/>
          <w:spacing w:val="-3"/>
          <w:sz w:val="32"/>
          <w:szCs w:val="32"/>
        </w:rPr>
        <w:t>市监</w:t>
      </w:r>
      <w:r>
        <w:rPr>
          <w:rFonts w:hint="eastAsia" w:ascii="仿宋_GB2312" w:hAnsi="仿宋_GB2312" w:eastAsia="仿宋_GB2312"/>
          <w:spacing w:val="-3"/>
          <w:sz w:val="32"/>
          <w:szCs w:val="32"/>
          <w:lang w:eastAsia="zh-CN"/>
        </w:rPr>
        <w:t>罚</w:t>
      </w:r>
      <w:r>
        <w:rPr>
          <w:rFonts w:hint="eastAsia" w:ascii="仿宋_GB2312" w:hAnsi="仿宋_GB2312" w:eastAsia="仿宋_GB2312"/>
          <w:spacing w:val="-3"/>
          <w:sz w:val="32"/>
          <w:szCs w:val="32"/>
        </w:rPr>
        <w:t>告〔202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〕06030001号），告知当事人拟作出行政处罚的事实、理由、依据、处罚内容及其依法享有陈述、申辩和要求听证的权利，当事人未在法定期限内提出陈述、申辩，也未提出举行听证的要求。</w:t>
      </w:r>
    </w:p>
    <w:p w14:paraId="314474B2">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Times New Roman" w:hAnsi="Times New Roman" w:eastAsia="仿宋_GB2312" w:cs="仿宋_GB2312"/>
          <w:b w:val="0"/>
          <w:bCs/>
          <w:sz w:val="32"/>
          <w:szCs w:val="32"/>
        </w:rPr>
      </w:pPr>
      <w:r>
        <w:rPr>
          <w:rFonts w:hint="eastAsia" w:ascii="仿宋_GB2312" w:hAnsi="仿宋_GB2312" w:eastAsia="仿宋_GB2312"/>
          <w:spacing w:val="-3"/>
          <w:sz w:val="32"/>
          <w:szCs w:val="32"/>
        </w:rPr>
        <w:t>本局认为，</w:t>
      </w:r>
      <w:r>
        <w:rPr>
          <w:rFonts w:hint="eastAsia" w:ascii="Times New Roman" w:hAnsi="Times New Roman" w:eastAsia="仿宋_GB2312" w:cs="仿宋_GB2312"/>
          <w:b w:val="0"/>
          <w:bCs/>
          <w:sz w:val="32"/>
          <w:szCs w:val="32"/>
          <w:highlight w:val="none"/>
        </w:rPr>
        <w:t>当事</w:t>
      </w:r>
      <w:r>
        <w:rPr>
          <w:rFonts w:hint="eastAsia" w:ascii="Times New Roman" w:hAnsi="Times New Roman" w:eastAsia="仿宋_GB2312" w:cs="仿宋_GB2312"/>
          <w:b w:val="0"/>
          <w:bCs/>
          <w:sz w:val="32"/>
          <w:szCs w:val="32"/>
        </w:rPr>
        <w:t>人未经市场主体登记擅自从事鞋面生产经营活动，其行为违反了《中华人民共和国市场主体登记管理条例》第三条第一款的规定，属于未经设立登记从事经营活动的违法行为。</w:t>
      </w:r>
    </w:p>
    <w:p w14:paraId="36A3B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当事人在未经商标注册人许可的情况下，擅自替他人加工标有“</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”注册商标半成品</w:t>
      </w:r>
      <w:r>
        <w:rPr>
          <w:rFonts w:hint="eastAsia" w:ascii="仿宋_GB2312" w:hAnsi="仿宋_GB2312" w:eastAsia="仿宋_GB2312"/>
          <w:spacing w:val="-3"/>
          <w:sz w:val="32"/>
          <w:szCs w:val="32"/>
        </w:rPr>
        <w:t>鞋</w:t>
      </w:r>
      <w:r>
        <w:rPr>
          <w:rFonts w:hint="eastAsia" w:ascii="仿宋_GB2312" w:hAnsi="仿宋_GB2312" w:eastAsia="仿宋_GB2312"/>
          <w:spacing w:val="-3"/>
          <w:sz w:val="32"/>
          <w:szCs w:val="32"/>
          <w:lang w:eastAsia="zh-CN"/>
        </w:rPr>
        <w:t>面和标有“</w:t>
      </w:r>
      <w:r>
        <w:rPr>
          <w:rFonts w:hint="eastAsia" w:ascii="仿宋_GB2312" w:hAnsi="仿宋_GB2312" w:eastAsia="仿宋_GB2312"/>
          <w:spacing w:val="-3"/>
          <w:sz w:val="32"/>
          <w:szCs w:val="32"/>
          <w:lang w:val="en-US" w:eastAsia="zh-CN"/>
        </w:rPr>
        <w:t>Onitsuka Tiger</w:t>
      </w:r>
      <w:r>
        <w:rPr>
          <w:rFonts w:hint="eastAsia" w:ascii="仿宋_GB2312" w:hAnsi="仿宋_GB2312" w:eastAsia="仿宋_GB2312"/>
          <w:spacing w:val="-3"/>
          <w:sz w:val="32"/>
          <w:szCs w:val="32"/>
          <w:lang w:eastAsia="zh-CN"/>
        </w:rPr>
        <w:t>”注册商标半成品鞋面</w:t>
      </w:r>
      <w:r>
        <w:rPr>
          <w:rFonts w:hint="eastAsia" w:ascii="Times New Roman" w:hAnsi="Times New Roman" w:eastAsia="仿宋_GB2312" w:cs="仿宋_GB2312"/>
          <w:b w:val="0"/>
          <w:bCs/>
          <w:sz w:val="32"/>
          <w:szCs w:val="32"/>
        </w:rPr>
        <w:t>的行为，属于《中华人民共和国商标法》第五十七条第（六）项的规定的故意为侵犯他人商标专用权行为提供便利条件，帮助他人实施侵犯商标专用权的违法行为。</w:t>
      </w:r>
    </w:p>
    <w:p w14:paraId="5CDFCE4E">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highlight w:val="none"/>
        </w:rPr>
        <w:t>鉴于当事人其未经设立登记从事经营活动及侵犯注册商标专用权的违法行为属于</w:t>
      </w:r>
      <w:r>
        <w:rPr>
          <w:rFonts w:hint="eastAsia" w:ascii="仿宋_GB2312" w:hAnsi="仿宋_GB2312" w:eastAsia="仿宋_GB2312" w:cs="仿宋_GB2312"/>
          <w:spacing w:val="-3"/>
          <w:sz w:val="32"/>
          <w:szCs w:val="32"/>
        </w:rPr>
        <w:t>《福建省市场监督管理行政处罚裁量权适用规则》第</w:t>
      </w:r>
      <w:r>
        <w:rPr>
          <w:rFonts w:hint="eastAsia" w:ascii="仿宋_GB2312" w:hAnsi="仿宋_GB2312" w:eastAsia="仿宋_GB2312" w:cs="仿宋_GB2312"/>
          <w:spacing w:val="-3"/>
          <w:sz w:val="32"/>
          <w:szCs w:val="32"/>
          <w:lang w:eastAsia="zh-CN"/>
        </w:rPr>
        <w:t>十八</w:t>
      </w:r>
      <w:r>
        <w:rPr>
          <w:rFonts w:hint="eastAsia" w:ascii="仿宋_GB2312" w:hAnsi="仿宋_GB2312" w:eastAsia="仿宋_GB2312" w:cs="仿宋_GB2312"/>
          <w:spacing w:val="-3"/>
          <w:sz w:val="32"/>
          <w:szCs w:val="32"/>
        </w:rPr>
        <w:t>条第</w:t>
      </w:r>
      <w:r>
        <w:rPr>
          <w:rFonts w:hint="eastAsia" w:ascii="仿宋_GB2312" w:hAnsi="仿宋_GB2312" w:eastAsia="仿宋_GB2312" w:cs="仿宋_GB2312"/>
          <w:spacing w:val="-3"/>
          <w:sz w:val="32"/>
          <w:szCs w:val="32"/>
          <w:lang w:eastAsia="zh-CN"/>
        </w:rPr>
        <w:t>一款</w:t>
      </w:r>
      <w:r>
        <w:rPr>
          <w:rFonts w:hint="eastAsia" w:ascii="仿宋_GB2312" w:hAnsi="仿宋_GB2312" w:eastAsia="仿宋_GB2312" w:cs="仿宋_GB2312"/>
          <w:spacing w:val="-3"/>
          <w:sz w:val="32"/>
          <w:szCs w:val="32"/>
        </w:rPr>
        <w:t>规定的</w:t>
      </w:r>
      <w:r>
        <w:rPr>
          <w:rFonts w:hint="eastAsia" w:ascii="仿宋_GB2312" w:hAnsi="仿宋_GB2312" w:eastAsia="仿宋_GB2312" w:cs="仿宋_GB2312"/>
          <w:spacing w:val="-3"/>
          <w:sz w:val="32"/>
          <w:szCs w:val="32"/>
          <w:lang w:eastAsia="zh-CN"/>
        </w:rPr>
        <w:t>一般行政处罚情形</w:t>
      </w:r>
      <w:r>
        <w:rPr>
          <w:rFonts w:hint="eastAsia" w:ascii="仿宋_GB2312" w:hAnsi="仿宋_GB2312" w:eastAsia="仿宋_GB2312"/>
          <w:spacing w:val="-3"/>
          <w:sz w:val="32"/>
          <w:szCs w:val="32"/>
          <w:highlight w:val="none"/>
        </w:rPr>
        <w:t>，</w:t>
      </w:r>
      <w:r>
        <w:rPr>
          <w:rFonts w:hint="eastAsia" w:ascii="仿宋_GB2312" w:hAnsi="仿宋_GB2312" w:eastAsia="仿宋_GB2312"/>
          <w:spacing w:val="-3"/>
          <w:sz w:val="32"/>
          <w:szCs w:val="32"/>
          <w:highlight w:val="none"/>
          <w:lang w:eastAsia="zh-CN"/>
        </w:rPr>
        <w:t>本局决定</w:t>
      </w:r>
      <w:r>
        <w:rPr>
          <w:rFonts w:hint="eastAsia" w:ascii="仿宋_GB2312" w:hAnsi="仿宋_GB2312" w:eastAsia="仿宋_GB2312"/>
          <w:spacing w:val="-3"/>
          <w:sz w:val="32"/>
          <w:szCs w:val="32"/>
          <w:highlight w:val="none"/>
        </w:rPr>
        <w:t>参照《中华人民共和国市场主体登记管理条例》第四十三条、《福建省市场监督管理系统适用&lt;商标法&gt;行政处罚裁量基准》SB-3的裁量意见予以</w:t>
      </w:r>
      <w:r>
        <w:rPr>
          <w:rFonts w:hint="eastAsia" w:ascii="仿宋_GB2312" w:hAnsi="仿宋_GB2312" w:eastAsia="仿宋_GB2312"/>
          <w:spacing w:val="-3"/>
          <w:sz w:val="32"/>
          <w:szCs w:val="32"/>
          <w:highlight w:val="none"/>
          <w:lang w:eastAsia="zh-CN"/>
        </w:rPr>
        <w:t>一般</w:t>
      </w:r>
      <w:r>
        <w:rPr>
          <w:rFonts w:hint="eastAsia" w:ascii="仿宋_GB2312" w:hAnsi="仿宋_GB2312" w:eastAsia="仿宋_GB2312"/>
          <w:spacing w:val="-3"/>
          <w:sz w:val="32"/>
          <w:szCs w:val="32"/>
          <w:highlight w:val="none"/>
        </w:rPr>
        <w:t>处罚。</w:t>
      </w:r>
    </w:p>
    <w:p w14:paraId="7A3E290F">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hAnsi="仿宋_GB2312" w:eastAsia="仿宋_GB2312"/>
          <w:color w:val="auto"/>
          <w:sz w:val="32"/>
          <w:szCs w:val="32"/>
          <w:highlight w:val="none"/>
        </w:rPr>
      </w:pPr>
      <w:r>
        <w:rPr>
          <w:rFonts w:hint="eastAsia" w:ascii="仿宋_GB2312" w:hAnsi="仿宋_GB2312" w:eastAsia="仿宋_GB2312"/>
          <w:spacing w:val="-3"/>
          <w:sz w:val="32"/>
          <w:szCs w:val="32"/>
        </w:rPr>
        <w:t>依据</w:t>
      </w:r>
      <w:r>
        <w:rPr>
          <w:rFonts w:ascii="仿宋_GB2312" w:hAnsi="仿宋_GB2312" w:eastAsia="仿宋_GB2312"/>
          <w:sz w:val="32"/>
          <w:szCs w:val="32"/>
        </w:rPr>
        <w:t>《中华人民共和国市场主体登记管理条例》第四十三条及《中华人民共和国商标法》第六十条第二款的规定</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highlight w:val="none"/>
          <w:lang w:eastAsia="zh-CN"/>
        </w:rPr>
        <w:t>决定</w:t>
      </w:r>
      <w:r>
        <w:rPr>
          <w:rFonts w:hint="eastAsia" w:ascii="仿宋_GB2312" w:hAnsi="仿宋_GB2312" w:eastAsia="仿宋_GB2312"/>
          <w:color w:val="auto"/>
          <w:sz w:val="32"/>
          <w:szCs w:val="32"/>
          <w:highlight w:val="none"/>
        </w:rPr>
        <w:t>对当事人作如下行政</w:t>
      </w:r>
      <w:r>
        <w:rPr>
          <w:rFonts w:hint="eastAsia" w:ascii="仿宋_GB2312" w:hAnsi="仿宋_GB2312" w:eastAsia="仿宋_GB2312"/>
          <w:color w:val="auto"/>
          <w:sz w:val="32"/>
          <w:szCs w:val="32"/>
          <w:highlight w:val="none"/>
          <w:lang w:eastAsia="zh-CN"/>
        </w:rPr>
        <w:t>处罚</w:t>
      </w:r>
      <w:r>
        <w:rPr>
          <w:rFonts w:hint="eastAsia" w:ascii="仿宋_GB2312" w:hAnsi="仿宋_GB2312" w:eastAsia="仿宋_GB2312"/>
          <w:color w:val="auto"/>
          <w:sz w:val="32"/>
          <w:szCs w:val="32"/>
          <w:highlight w:val="none"/>
        </w:rPr>
        <w:t>：</w:t>
      </w:r>
    </w:p>
    <w:p w14:paraId="383096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1.责令当事人立即停止并改正未经设立登记从事经营活动的违法行为。（拒不改正的，处1万元以上10万元以下的罚款；情节严重的，依法责令关闭停业，并处10万元以上50万元以下的罚款。）</w:t>
      </w:r>
    </w:p>
    <w:p w14:paraId="67498F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2.责令立即停止商标侵权的违法行为，没收涉案的</w:t>
      </w:r>
      <w:r>
        <w:rPr>
          <w:rFonts w:hint="eastAsia" w:ascii="仿宋_GB2312" w:hAnsi="仿宋_GB2312" w:eastAsia="仿宋_GB2312"/>
          <w:spacing w:val="-3"/>
          <w:sz w:val="32"/>
          <w:szCs w:val="32"/>
        </w:rPr>
        <w:t>标有</w:t>
      </w:r>
      <w:r>
        <w:rPr>
          <w:rFonts w:hint="eastAsia"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lang w:eastAsia="zh-CN"/>
        </w:rPr>
        <w:t>耐克勾形</w:t>
      </w:r>
      <w:r>
        <w:rPr>
          <w:rFonts w:hint="eastAsia" w:ascii="Times New Roman" w:hAnsi="Times New Roman" w:eastAsia="仿宋_GB2312" w:cs="仿宋_GB2312"/>
          <w:b w:val="0"/>
          <w:bCs/>
          <w:sz w:val="32"/>
          <w:szCs w:val="32"/>
        </w:rPr>
        <w:t>”</w:t>
      </w:r>
      <w:r>
        <w:rPr>
          <w:rFonts w:hint="eastAsia" w:ascii="仿宋_GB2312" w:hAnsi="仿宋_GB2312" w:eastAsia="仿宋_GB2312"/>
          <w:spacing w:val="-3"/>
          <w:sz w:val="32"/>
          <w:szCs w:val="32"/>
          <w:lang w:eastAsia="zh-CN"/>
        </w:rPr>
        <w:t>注册商标半成品鞋面</w:t>
      </w:r>
      <w:r>
        <w:rPr>
          <w:rFonts w:hint="eastAsia" w:ascii="仿宋_GB2312" w:hAnsi="仿宋_GB2312" w:eastAsia="仿宋_GB2312"/>
          <w:spacing w:val="-3"/>
          <w:sz w:val="32"/>
          <w:szCs w:val="32"/>
          <w:lang w:val="en-US" w:eastAsia="zh-CN"/>
        </w:rPr>
        <w:t>305双</w:t>
      </w:r>
      <w:r>
        <w:rPr>
          <w:rFonts w:hint="eastAsia" w:ascii="仿宋_GB2312" w:hAnsi="仿宋_GB2312" w:eastAsia="仿宋_GB2312"/>
          <w:spacing w:val="-3"/>
          <w:sz w:val="32"/>
          <w:szCs w:val="32"/>
        </w:rPr>
        <w:t>，</w:t>
      </w:r>
      <w:r>
        <w:rPr>
          <w:rFonts w:hint="eastAsia" w:ascii="Times New Roman" w:hAnsi="Times New Roman" w:eastAsia="仿宋_GB2312" w:cs="仿宋_GB2312"/>
          <w:b w:val="0"/>
          <w:bCs/>
          <w:sz w:val="32"/>
          <w:szCs w:val="32"/>
        </w:rPr>
        <w:t>标有</w:t>
      </w:r>
      <w:r>
        <w:rPr>
          <w:rFonts w:hint="eastAsia" w:ascii="仿宋_GB2312" w:hAnsi="仿宋_GB2312" w:eastAsia="仿宋_GB2312"/>
          <w:spacing w:val="-3"/>
          <w:sz w:val="32"/>
          <w:szCs w:val="32"/>
          <w:lang w:eastAsia="zh-CN"/>
        </w:rPr>
        <w:t>“</w:t>
      </w:r>
      <w:r>
        <w:rPr>
          <w:rFonts w:hint="eastAsia" w:ascii="仿宋_GB2312" w:hAnsi="仿宋_GB2312" w:eastAsia="仿宋_GB2312"/>
          <w:spacing w:val="-3"/>
          <w:sz w:val="32"/>
          <w:szCs w:val="32"/>
          <w:lang w:val="en-US" w:eastAsia="zh-CN"/>
        </w:rPr>
        <w:t>Onitsuka Tiger</w:t>
      </w:r>
      <w:r>
        <w:rPr>
          <w:rFonts w:hint="eastAsia" w:ascii="仿宋_GB2312" w:hAnsi="仿宋_GB2312" w:eastAsia="仿宋_GB2312"/>
          <w:spacing w:val="-3"/>
          <w:sz w:val="32"/>
          <w:szCs w:val="32"/>
          <w:lang w:eastAsia="zh-CN"/>
        </w:rPr>
        <w:t>”注册商标半成品鞋面</w:t>
      </w:r>
      <w:r>
        <w:rPr>
          <w:rFonts w:hint="eastAsia" w:ascii="仿宋_GB2312" w:hAnsi="仿宋_GB2312" w:eastAsia="仿宋_GB2312"/>
          <w:spacing w:val="-3"/>
          <w:sz w:val="32"/>
          <w:szCs w:val="32"/>
          <w:lang w:val="en-US" w:eastAsia="zh-CN"/>
        </w:rPr>
        <w:t>267双</w:t>
      </w:r>
      <w:r>
        <w:rPr>
          <w:rFonts w:hint="eastAsia" w:ascii="仿宋_GB2312" w:hAnsi="仿宋_GB2312" w:eastAsia="仿宋_GB2312"/>
          <w:sz w:val="32"/>
          <w:szCs w:val="32"/>
        </w:rPr>
        <w:t>，并处罚款人民币</w:t>
      </w:r>
      <w:r>
        <w:rPr>
          <w:rFonts w:hint="eastAsia" w:ascii="仿宋_GB2312" w:hAnsi="仿宋_GB2312" w:eastAsia="仿宋_GB2312"/>
          <w:sz w:val="32"/>
          <w:szCs w:val="32"/>
          <w:lang w:val="en-US" w:eastAsia="zh-CN"/>
        </w:rPr>
        <w:t>76287</w:t>
      </w:r>
      <w:r>
        <w:rPr>
          <w:rFonts w:hint="eastAsia" w:ascii="仿宋_GB2312" w:hAnsi="仿宋_GB2312" w:eastAsia="仿宋_GB2312"/>
          <w:sz w:val="32"/>
          <w:szCs w:val="32"/>
        </w:rPr>
        <w:t>元，上缴国库。</w:t>
      </w:r>
    </w:p>
    <w:p w14:paraId="65F6B0C3">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w:t>
      </w:r>
      <w:r>
        <w:rPr>
          <w:rFonts w:hint="default" w:ascii="仿宋_GB2312" w:hAnsi="仿宋_GB2312" w:eastAsia="仿宋_GB2312"/>
          <w:spacing w:val="-3"/>
          <w:sz w:val="32"/>
          <w:szCs w:val="32"/>
          <w:highlight w:val="none"/>
          <w:lang w:val="en-US" w:eastAsia="zh-CN"/>
        </w:rPr>
        <w:t>’</w:t>
      </w:r>
      <w:r>
        <w:rPr>
          <w:rFonts w:hint="eastAsia" w:ascii="仿宋_GB2312" w:hAnsi="仿宋_GB2312" w:eastAsia="仿宋_GB2312"/>
          <w:spacing w:val="-3"/>
          <w:sz w:val="32"/>
          <w:szCs w:val="32"/>
          <w:highlight w:val="none"/>
        </w:rPr>
        <w:t>二维码”进行缴费。到期不缴纳罚款的，依据《中华人民共和国行政处罚法》第</w:t>
      </w:r>
      <w:r>
        <w:rPr>
          <w:rFonts w:hint="eastAsia" w:ascii="仿宋_GB2312" w:hAnsi="仿宋_GB2312" w:eastAsia="仿宋_GB2312"/>
          <w:spacing w:val="-3"/>
          <w:sz w:val="32"/>
          <w:szCs w:val="32"/>
          <w:highlight w:val="none"/>
          <w:lang w:eastAsia="zh-CN"/>
        </w:rPr>
        <w:t>七十二</w:t>
      </w:r>
      <w:r>
        <w:rPr>
          <w:rFonts w:hint="eastAsia" w:ascii="仿宋_GB2312" w:hAnsi="仿宋_GB2312" w:eastAsia="仿宋_GB2312"/>
          <w:spacing w:val="-3"/>
          <w:sz w:val="32"/>
          <w:szCs w:val="32"/>
          <w:highlight w:val="none"/>
        </w:rPr>
        <w:t>条第（一）项的规定，每日按罚款数额的百分之三加处罚款。</w:t>
      </w:r>
    </w:p>
    <w:p w14:paraId="6CA7929D">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如对以上行政处罚不服的，可在接到本决定书之日起六十日内，向莆田市</w:t>
      </w:r>
      <w:r>
        <w:rPr>
          <w:rFonts w:hint="eastAsia" w:ascii="仿宋_GB2312" w:hAnsi="仿宋_GB2312" w:eastAsia="仿宋_GB2312"/>
          <w:spacing w:val="-3"/>
          <w:sz w:val="32"/>
          <w:szCs w:val="32"/>
          <w:highlight w:val="none"/>
          <w:lang w:eastAsia="zh-CN"/>
        </w:rPr>
        <w:t>涵江区</w:t>
      </w:r>
      <w:r>
        <w:rPr>
          <w:rFonts w:hint="eastAsia" w:ascii="仿宋_GB2312" w:hAnsi="仿宋_GB2312" w:eastAsia="仿宋_GB2312"/>
          <w:spacing w:val="-3"/>
          <w:sz w:val="32"/>
          <w:szCs w:val="32"/>
          <w:highlight w:val="none"/>
        </w:rPr>
        <w:t>人民政府申请复议或在六个月内向莆田市</w:t>
      </w:r>
      <w:r>
        <w:rPr>
          <w:rFonts w:hint="eastAsia" w:ascii="仿宋_GB2312" w:hAnsi="仿宋_GB2312" w:eastAsia="仿宋_GB2312"/>
          <w:spacing w:val="-3"/>
          <w:sz w:val="32"/>
          <w:szCs w:val="32"/>
          <w:highlight w:val="none"/>
          <w:lang w:eastAsia="zh-CN"/>
        </w:rPr>
        <w:t>城厢</w:t>
      </w:r>
      <w:r>
        <w:rPr>
          <w:rFonts w:hint="eastAsia" w:ascii="仿宋_GB2312" w:hAnsi="仿宋_GB2312" w:eastAsia="仿宋_GB2312"/>
          <w:spacing w:val="-3"/>
          <w:sz w:val="32"/>
          <w:szCs w:val="32"/>
          <w:highlight w:val="none"/>
        </w:rPr>
        <w:t>区人民法院起诉；逾期不申请复议、不起诉又不履行的，本机关将申请人民法院强制执行。</w:t>
      </w:r>
    </w:p>
    <w:p w14:paraId="1721B72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highlight w:val="none"/>
        </w:rPr>
      </w:pPr>
      <w:r>
        <w:rPr>
          <w:rFonts w:hint="eastAsia" w:ascii="仿宋_GB2312" w:hAnsi="仿宋_GB2312" w:eastAsia="仿宋_GB2312" w:cs="仿宋_GB2312"/>
          <w:spacing w:val="-3"/>
          <w:sz w:val="32"/>
          <w:szCs w:val="32"/>
          <w:highlight w:val="none"/>
          <w:lang w:eastAsia="zh-CN"/>
        </w:rPr>
        <w:drawing>
          <wp:anchor distT="0" distB="0" distL="114300" distR="114300" simplePos="0" relativeHeight="251661312" behindDoc="0" locked="0" layoutInCell="1" allowOverlap="1">
            <wp:simplePos x="0" y="0"/>
            <wp:positionH relativeFrom="column">
              <wp:posOffset>3484880</wp:posOffset>
            </wp:positionH>
            <wp:positionV relativeFrom="paragraph">
              <wp:posOffset>191770</wp:posOffset>
            </wp:positionV>
            <wp:extent cx="1600200" cy="2261235"/>
            <wp:effectExtent l="0" t="0" r="0" b="9525"/>
            <wp:wrapSquare wrapText="bothSides"/>
            <wp:docPr id="4" name="图片 6" descr="9702658a80015925c07d31c1c0e3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9702658a80015925c07d31c1c0e389f"/>
                    <pic:cNvPicPr>
                      <a:picLocks noChangeAspect="1"/>
                    </pic:cNvPicPr>
                  </pic:nvPicPr>
                  <pic:blipFill>
                    <a:blip r:embed="rId7"/>
                    <a:stretch>
                      <a:fillRect/>
                    </a:stretch>
                  </pic:blipFill>
                  <pic:spPr>
                    <a:xfrm>
                      <a:off x="0" y="0"/>
                      <a:ext cx="1600200" cy="2261235"/>
                    </a:xfrm>
                    <a:prstGeom prst="rect">
                      <a:avLst/>
                    </a:prstGeom>
                    <a:noFill/>
                    <a:ln>
                      <a:noFill/>
                    </a:ln>
                  </pic:spPr>
                </pic:pic>
              </a:graphicData>
            </a:graphic>
          </wp:anchor>
        </w:drawing>
      </w:r>
    </w:p>
    <w:p w14:paraId="59722905">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eastAsia="仿宋_GB2312"/>
          <w:sz w:val="32"/>
          <w:szCs w:val="32"/>
          <w:highlight w:val="none"/>
        </w:rPr>
      </w:pPr>
      <w:r>
        <w:rPr>
          <w:rFonts w:hint="eastAsia" w:ascii="仿宋_GB2312" w:hAnsi="仿宋_GB2312" w:eastAsia="仿宋_GB2312"/>
          <w:spacing w:val="-3"/>
          <w:sz w:val="32"/>
          <w:szCs w:val="32"/>
          <w:highlight w:val="none"/>
        </w:rPr>
        <w:t>附：“云缴费”二维码</w:t>
      </w:r>
    </w:p>
    <w:p w14:paraId="7D4FE0DB">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4D32A325">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432C6B56">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584B4A6B">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013357D2">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1C56B151">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77F61283">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1F8BCD50">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6D124795">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textAlignment w:val="auto"/>
        <w:outlineLvl w:val="9"/>
        <w:rPr>
          <w:rFonts w:hint="eastAsia" w:ascii="仿宋_GB2312" w:eastAsia="仿宋_GB2312"/>
          <w:sz w:val="32"/>
          <w:szCs w:val="32"/>
          <w:highlight w:val="none"/>
        </w:rPr>
      </w:pPr>
    </w:p>
    <w:p w14:paraId="23481D33">
      <w:pPr>
        <w:keepNext w:val="0"/>
        <w:keepLines w:val="0"/>
        <w:pageBreakBefore w:val="0"/>
        <w:widowControl w:val="0"/>
        <w:tabs>
          <w:tab w:val="left" w:pos="8374"/>
        </w:tabs>
        <w:kinsoku/>
        <w:wordWrap/>
        <w:overflowPunct/>
        <w:topLinePunct w:val="0"/>
        <w:autoSpaceDE/>
        <w:autoSpaceDN/>
        <w:bidi w:val="0"/>
        <w:adjustRightInd/>
        <w:snapToGrid/>
        <w:spacing w:line="500" w:lineRule="exact"/>
        <w:ind w:right="785" w:rightChars="374" w:firstLine="3840" w:firstLineChars="1200"/>
        <w:textAlignment w:val="auto"/>
        <w:outlineLvl w:val="9"/>
        <w:rPr>
          <w:rFonts w:hint="eastAsia" w:ascii="仿宋_GB2312" w:hAnsi="仿宋_GB2312" w:eastAsia="仿宋_GB2312"/>
          <w:spacing w:val="-3"/>
          <w:sz w:val="32"/>
          <w:szCs w:val="32"/>
          <w:highlight w:val="none"/>
        </w:rPr>
      </w:pPr>
      <w:r>
        <w:rPr>
          <w:rFonts w:hint="eastAsia" w:ascii="仿宋_GB2312" w:eastAsia="仿宋_GB2312"/>
          <w:sz w:val="32"/>
          <w:szCs w:val="32"/>
          <w:highlight w:val="none"/>
        </w:rPr>
        <w:t>莆田市</w:t>
      </w:r>
      <w:r>
        <w:rPr>
          <w:rFonts w:hint="eastAsia" w:ascii="仿宋_GB2312" w:eastAsia="仿宋_GB2312"/>
          <w:sz w:val="32"/>
          <w:szCs w:val="32"/>
          <w:highlight w:val="none"/>
          <w:lang w:eastAsia="zh-CN"/>
        </w:rPr>
        <w:t>涵江区</w:t>
      </w:r>
      <w:r>
        <w:rPr>
          <w:rFonts w:hint="eastAsia" w:ascii="仿宋_GB2312" w:eastAsia="仿宋_GB2312"/>
          <w:sz w:val="32"/>
          <w:szCs w:val="32"/>
          <w:highlight w:val="none"/>
        </w:rPr>
        <w:t>市场监督管理局</w:t>
      </w:r>
    </w:p>
    <w:p w14:paraId="58B5BDAF">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r>
        <w:rPr>
          <w:rFonts w:hint="eastAsia" w:ascii="仿宋_GB2312" w:hAnsi="仿宋_GB2312" w:eastAsia="仿宋_GB2312"/>
          <w:spacing w:val="-3"/>
          <w:sz w:val="32"/>
          <w:szCs w:val="32"/>
          <w:highlight w:val="none"/>
        </w:rPr>
        <w:t xml:space="preserve">                               </w:t>
      </w:r>
      <w:r>
        <w:rPr>
          <w:rFonts w:hint="eastAsia" w:ascii="仿宋_GB2312" w:hAnsi="仿宋_GB2312" w:eastAsia="仿宋_GB2312"/>
          <w:spacing w:val="-3"/>
          <w:sz w:val="32"/>
          <w:szCs w:val="32"/>
          <w:highlight w:val="none"/>
          <w:lang w:val="en-US" w:eastAsia="zh-CN"/>
        </w:rPr>
        <w:t>2025</w:t>
      </w:r>
      <w:r>
        <w:rPr>
          <w:rFonts w:hint="eastAsia" w:ascii="仿宋_GB2312" w:hAnsi="仿宋_GB2312" w:eastAsia="仿宋_GB2312" w:cs="仿宋_GB2312"/>
          <w:spacing w:val="-3"/>
          <w:sz w:val="32"/>
          <w:szCs w:val="32"/>
          <w:highlight w:val="none"/>
        </w:rPr>
        <w:t>年</w:t>
      </w:r>
      <w:r>
        <w:rPr>
          <w:rFonts w:hint="eastAsia" w:ascii="仿宋_GB2312" w:hAnsi="仿宋_GB2312" w:eastAsia="仿宋_GB2312" w:cs="仿宋_GB2312"/>
          <w:spacing w:val="-3"/>
          <w:sz w:val="32"/>
          <w:szCs w:val="32"/>
          <w:highlight w:val="none"/>
          <w:lang w:val="en-US" w:eastAsia="zh-CN"/>
        </w:rPr>
        <w:t>8</w:t>
      </w:r>
      <w:r>
        <w:rPr>
          <w:rFonts w:hint="eastAsia" w:ascii="仿宋_GB2312" w:hAnsi="仿宋_GB2312" w:eastAsia="仿宋_GB2312" w:cs="仿宋_GB2312"/>
          <w:spacing w:val="-3"/>
          <w:sz w:val="32"/>
          <w:szCs w:val="32"/>
          <w:highlight w:val="none"/>
        </w:rPr>
        <w:t>月</w:t>
      </w:r>
      <w:r>
        <w:rPr>
          <w:rFonts w:hint="eastAsia" w:ascii="仿宋_GB2312" w:hAnsi="仿宋_GB2312" w:eastAsia="仿宋_GB2312" w:cs="仿宋_GB2312"/>
          <w:spacing w:val="-3"/>
          <w:sz w:val="32"/>
          <w:szCs w:val="32"/>
          <w:highlight w:val="none"/>
          <w:lang w:val="en-US" w:eastAsia="zh-CN"/>
        </w:rPr>
        <w:t>25</w:t>
      </w:r>
      <w:r>
        <w:rPr>
          <w:rFonts w:hint="eastAsia" w:ascii="仿宋_GB2312" w:hAnsi="仿宋_GB2312" w:eastAsia="仿宋_GB2312" w:cs="仿宋_GB2312"/>
          <w:spacing w:val="-3"/>
          <w:sz w:val="32"/>
          <w:szCs w:val="32"/>
          <w:highlight w:val="none"/>
        </w:rPr>
        <w:t>日</w:t>
      </w:r>
    </w:p>
    <w:p w14:paraId="00C706A9">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106D8DFA">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57135214">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6E5A1EE5">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1F26EC5F">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5F03FA46">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3C861F80">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437E10CB">
      <w:pPr>
        <w:keepNext w:val="0"/>
        <w:keepLines w:val="0"/>
        <w:pageBreakBefore w:val="0"/>
        <w:widowControl w:val="0"/>
        <w:tabs>
          <w:tab w:val="left" w:pos="8058"/>
        </w:tabs>
        <w:kinsoku/>
        <w:wordWrap/>
        <w:overflowPunct/>
        <w:topLinePunct w:val="0"/>
        <w:autoSpaceDE/>
        <w:autoSpaceDN/>
        <w:bidi w:val="0"/>
        <w:adjustRightInd/>
        <w:snapToGrid/>
        <w:spacing w:line="500" w:lineRule="exact"/>
        <w:ind w:right="785" w:rightChars="374"/>
        <w:jc w:val="center"/>
        <w:textAlignment w:val="auto"/>
        <w:outlineLvl w:val="9"/>
        <w:rPr>
          <w:rFonts w:hint="eastAsia" w:ascii="仿宋_GB2312" w:hAnsi="仿宋_GB2312" w:eastAsia="仿宋_GB2312" w:cs="仿宋_GB2312"/>
          <w:spacing w:val="-3"/>
          <w:sz w:val="32"/>
          <w:szCs w:val="32"/>
          <w:highlight w:val="none"/>
        </w:rPr>
      </w:pPr>
    </w:p>
    <w:p w14:paraId="283B4554">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9"/>
        <w:rPr>
          <w:rFonts w:hint="eastAsia" w:ascii="仿宋_GB2312" w:hAnsi="黑体" w:eastAsia="仿宋_GB2312"/>
          <w:sz w:val="32"/>
          <w:szCs w:val="32"/>
          <w:highlight w:val="none"/>
        </w:rPr>
      </w:pPr>
      <w:r>
        <w:rPr>
          <w:rFonts w:hint="eastAsia" w:ascii="仿宋_GB2312" w:hAnsi="黑体" w:eastAsia="仿宋_GB2312" w:cs="黑体"/>
          <w:sz w:val="32"/>
          <w:szCs w:val="32"/>
          <w:highlight w:val="none"/>
        </w:rPr>
        <w:t>（市场监督管理部门将依法向社会公示本行政处罚决定信息）</w:t>
      </w:r>
    </w:p>
    <w:p w14:paraId="3904B7EE">
      <w:pPr>
        <w:keepNext w:val="0"/>
        <w:keepLines w:val="0"/>
        <w:pageBreakBefore w:val="0"/>
        <w:widowControl w:val="0"/>
        <w:kinsoku/>
        <w:wordWrap/>
        <w:overflowPunct/>
        <w:topLinePunct w:val="0"/>
        <w:autoSpaceDE/>
        <w:autoSpaceDN/>
        <w:bidi w:val="0"/>
        <w:adjustRightInd/>
        <w:spacing w:line="520" w:lineRule="exact"/>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 name="直线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2516602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HRn11QAA&#10;AAcBAAAPAAAAAAAAAAEAIAAAACIAAABkcnMvZG93bnJldi54bWxQSwECFAAUAAAACACHTuJA5y51&#10;aOgBAADeAwAADgAAAAAAAAABACAAAAAkAQAAZHJzL2Uyb0RvYy54bWxQSwUGAAAAAAYABgBZAQAA&#10;fgUAAAAA&#10;">
                <v:fill on="f" focussize="0,0"/>
                <v:stroke weight="1.25pt" color="#000000" joinstyle="round"/>
                <v:imagedata o:title=""/>
                <o:lock v:ext="edit" aspectratio="f"/>
              </v:line>
            </w:pict>
          </mc:Fallback>
        </mc:AlternateContent>
      </w:r>
    </w:p>
    <w:p w14:paraId="1FDAAB8B">
      <w:pPr>
        <w:keepNext w:val="0"/>
        <w:keepLines w:val="0"/>
        <w:pageBreakBefore w:val="0"/>
        <w:widowControl w:val="0"/>
        <w:tabs>
          <w:tab w:val="left" w:pos="8848"/>
        </w:tabs>
        <w:kinsoku/>
        <w:wordWrap/>
        <w:overflowPunct/>
        <w:topLinePunct w:val="0"/>
        <w:autoSpaceDE/>
        <w:autoSpaceDN/>
        <w:bidi w:val="0"/>
        <w:adjustRightInd/>
        <w:spacing w:line="520" w:lineRule="exact"/>
        <w:ind w:right="-2" w:rightChars="-1"/>
        <w:jc w:val="right"/>
        <w:textAlignment w:val="auto"/>
        <w:outlineLvl w:val="9"/>
        <w:rPr>
          <w:rFonts w:hint="eastAsia" w:ascii="仿宋_GB2312" w:eastAsia="仿宋_GB2312" w:cs="仿宋_GB2312"/>
          <w:sz w:val="32"/>
          <w:szCs w:val="32"/>
          <w:highlight w:val="none"/>
        </w:rPr>
      </w:pPr>
      <w:r>
        <w:rPr>
          <w:rFonts w:hint="eastAsia" w:ascii="仿宋_GB2312" w:eastAsia="仿宋_GB2312"/>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线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v&#10;85HXAAAACgEAAA8AAAAAAAAAAQAgAAAAIgAAAGRycy9kb3ducmV2LnhtbFBLAQIUABQAAAAIAIdO&#10;4kDNuqU26wEAANwDAAAOAAAAAAAAAAEAIAAAACYBAABkcnMvZTJvRG9jLnhtbFBLBQYAAAAABgAG&#10;AFkBAACDBQAAAAA=&#10;">
                <v:fill on="f" focussize="0,0"/>
                <v:stroke weight="0.737007874015748pt" color="#000000" joinstyle="round" endcap="square"/>
                <v:imagedata o:title=""/>
                <o:lock v:ext="edit" aspectratio="f"/>
              </v:line>
            </w:pict>
          </mc:Fallback>
        </mc:AlternateContent>
      </w:r>
      <w:r>
        <w:rPr>
          <w:rFonts w:hint="eastAsia" w:ascii="仿宋_GB2312" w:eastAsia="仿宋_GB2312" w:cs="仿宋_GB2312"/>
          <w:sz w:val="32"/>
          <w:szCs w:val="32"/>
          <w:highlight w:val="none"/>
        </w:rPr>
        <w:t>本文书一式四份，二份送达，一份归档，一份交财务部门留存。</w:t>
      </w:r>
    </w:p>
    <w:p w14:paraId="2FFD433B">
      <w:pPr>
        <w:keepNext w:val="0"/>
        <w:keepLines w:val="0"/>
        <w:pageBreakBefore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sectPr>
          <w:footerReference r:id="rId3" w:type="default"/>
          <w:pgSz w:w="11906" w:h="16838"/>
          <w:pgMar w:top="2098" w:right="1474" w:bottom="1985" w:left="1587" w:header="851" w:footer="1418" w:gutter="0"/>
          <w:cols w:space="720" w:num="1"/>
          <w:docGrid w:type="lines" w:linePitch="579" w:charSpace="0"/>
        </w:sectPr>
      </w:pPr>
    </w:p>
    <w:p w14:paraId="65B0B5CF">
      <w:pPr>
        <w:keepNext w:val="0"/>
        <w:keepLines w:val="0"/>
        <w:pageBreakBefore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sectPr>
          <w:headerReference r:id="rId4" w:type="default"/>
          <w:footerReference r:id="rId5" w:type="default"/>
          <w:type w:val="continuous"/>
          <w:pgSz w:w="11906" w:h="16838"/>
          <w:pgMar w:top="1440" w:right="1418" w:bottom="1440" w:left="1588" w:header="851" w:footer="992" w:gutter="0"/>
          <w:cols w:space="720" w:num="1"/>
          <w:docGrid w:type="lines" w:linePitch="312" w:charSpace="0"/>
        </w:sectPr>
      </w:pPr>
    </w:p>
    <w:p w14:paraId="03A2238C">
      <w:pPr>
        <w:keepNext w:val="0"/>
        <w:keepLines w:val="0"/>
        <w:pageBreakBefore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附页：本</w:t>
      </w:r>
      <w:r>
        <w:rPr>
          <w:rFonts w:hint="eastAsia" w:ascii="仿宋_GB2312" w:hAnsi="仿宋_GB2312" w:eastAsia="仿宋_GB2312"/>
          <w:spacing w:val="-3"/>
          <w:sz w:val="32"/>
          <w:szCs w:val="32"/>
          <w:highlight w:val="none"/>
          <w:lang w:eastAsia="zh-CN"/>
        </w:rPr>
        <w:t>行政</w:t>
      </w:r>
      <w:r>
        <w:rPr>
          <w:rFonts w:hint="eastAsia" w:ascii="仿宋_GB2312" w:hAnsi="仿宋_GB2312" w:eastAsia="仿宋_GB2312"/>
          <w:spacing w:val="-3"/>
          <w:sz w:val="32"/>
          <w:szCs w:val="32"/>
          <w:highlight w:val="none"/>
        </w:rPr>
        <w:t>处罚决定书引用法条内容。</w:t>
      </w:r>
    </w:p>
    <w:p w14:paraId="20341717">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outlineLvl w:val="9"/>
        <w:rPr>
          <w:rFonts w:hint="eastAsia" w:ascii="仿宋_GB2312" w:hAnsi="仿宋_GB2312" w:eastAsia="仿宋_GB2312"/>
          <w:b/>
          <w:bCs/>
          <w:spacing w:val="-3"/>
          <w:sz w:val="32"/>
          <w:szCs w:val="32"/>
          <w:lang w:eastAsia="zh-CN"/>
        </w:rPr>
      </w:pPr>
      <w:r>
        <w:rPr>
          <w:rFonts w:hint="eastAsia" w:ascii="仿宋_GB2312" w:hAnsi="仿宋_GB2312" w:eastAsia="仿宋_GB2312"/>
          <w:b/>
          <w:bCs/>
          <w:spacing w:val="-3"/>
          <w:sz w:val="32"/>
          <w:szCs w:val="32"/>
          <w:lang w:eastAsia="zh-CN"/>
        </w:rPr>
        <w:t>《中华人民共和国市场主体登记管理条例》第三条第一款</w:t>
      </w:r>
    </w:p>
    <w:p w14:paraId="5F40F5B9">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lang w:eastAsia="zh-CN"/>
        </w:rPr>
        <w:t>市场主体应当依照本条例办理登记。未经登记，不得以市场主体名义从事经营活动。法律、行政法规规定无需办理登记的除外。</w:t>
      </w:r>
    </w:p>
    <w:p w14:paraId="2E0A2558">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outlineLvl w:val="9"/>
        <w:rPr>
          <w:rFonts w:hint="eastAsia" w:ascii="仿宋_GB2312" w:hAnsi="仿宋_GB2312" w:eastAsia="仿宋_GB2312"/>
          <w:b/>
          <w:bCs/>
          <w:spacing w:val="-3"/>
          <w:sz w:val="32"/>
          <w:szCs w:val="32"/>
          <w:lang w:eastAsia="zh-CN"/>
        </w:rPr>
      </w:pPr>
      <w:r>
        <w:rPr>
          <w:rFonts w:hint="eastAsia" w:ascii="仿宋_GB2312" w:hAnsi="仿宋_GB2312" w:eastAsia="仿宋_GB2312"/>
          <w:b/>
          <w:bCs/>
          <w:spacing w:val="-3"/>
          <w:sz w:val="32"/>
          <w:szCs w:val="32"/>
          <w:lang w:eastAsia="zh-CN"/>
        </w:rPr>
        <w:t>《中华人民共和国市场主体登记管理条例》第四十三条</w:t>
      </w:r>
    </w:p>
    <w:p w14:paraId="7BC28762">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lang w:eastAsia="zh-CN"/>
        </w:rPr>
        <w:t>未经设立登记从事经营活动的，由登记机关责令改正，没收违法所得；拒不改正的，处1万元以上10万元以下的罚款；情节严重的，依法责令关闭停业，并处10万元以上50万元以下的罚款。</w:t>
      </w:r>
    </w:p>
    <w:p w14:paraId="1FCAAF9B">
      <w:pPr>
        <w:keepNext w:val="0"/>
        <w:keepLines w:val="0"/>
        <w:pageBreakBefore w:val="0"/>
        <w:widowControl w:val="0"/>
        <w:kinsoku/>
        <w:wordWrap/>
        <w:overflowPunct/>
        <w:topLinePunct w:val="0"/>
        <w:autoSpaceDE/>
        <w:autoSpaceDN/>
        <w:bidi w:val="0"/>
        <w:spacing w:line="560" w:lineRule="exact"/>
        <w:ind w:firstLine="631" w:firstLineChars="200"/>
        <w:textAlignment w:val="auto"/>
        <w:outlineLvl w:val="9"/>
        <w:rPr>
          <w:rFonts w:hint="eastAsia" w:ascii="仿宋_GB2312" w:hAnsi="仿宋_GB2312" w:eastAsia="仿宋_GB2312"/>
          <w:b/>
          <w:bCs/>
          <w:spacing w:val="-3"/>
          <w:sz w:val="32"/>
          <w:szCs w:val="32"/>
        </w:rPr>
      </w:pPr>
      <w:r>
        <w:rPr>
          <w:rFonts w:ascii="仿宋_GB2312" w:hAnsi="仿宋_GB2312" w:eastAsia="仿宋_GB2312"/>
          <w:b/>
          <w:spacing w:val="-3"/>
          <w:sz w:val="32"/>
          <w:szCs w:val="32"/>
        </w:rPr>
        <w:t>《中华人民共和国商标法》</w:t>
      </w:r>
      <w:r>
        <w:rPr>
          <w:rFonts w:hint="eastAsia" w:ascii="仿宋_GB2312" w:hAnsi="仿宋_GB2312" w:eastAsia="仿宋_GB2312"/>
          <w:b/>
          <w:spacing w:val="-3"/>
          <w:sz w:val="32"/>
          <w:szCs w:val="32"/>
        </w:rPr>
        <w:t>第</w:t>
      </w:r>
      <w:r>
        <w:rPr>
          <w:rFonts w:ascii="仿宋_GB2312" w:hAnsi="仿宋_GB2312" w:eastAsia="仿宋_GB2312"/>
          <w:b/>
          <w:spacing w:val="-3"/>
          <w:sz w:val="32"/>
          <w:szCs w:val="32"/>
        </w:rPr>
        <w:t>五十七</w:t>
      </w:r>
      <w:r>
        <w:rPr>
          <w:rFonts w:hint="eastAsia" w:ascii="仿宋_GB2312" w:hAnsi="仿宋_GB2312" w:eastAsia="仿宋_GB2312"/>
          <w:b/>
          <w:spacing w:val="-3"/>
          <w:sz w:val="32"/>
          <w:szCs w:val="32"/>
        </w:rPr>
        <w:t>条第（</w:t>
      </w:r>
      <w:r>
        <w:rPr>
          <w:rFonts w:hint="eastAsia" w:ascii="仿宋_GB2312" w:hAnsi="仿宋_GB2312" w:eastAsia="仿宋_GB2312"/>
          <w:b/>
          <w:bCs/>
          <w:spacing w:val="-3"/>
          <w:sz w:val="32"/>
          <w:szCs w:val="32"/>
        </w:rPr>
        <w:t>六）项：</w:t>
      </w:r>
    </w:p>
    <w:p w14:paraId="0ACFB836">
      <w:pPr>
        <w:keepNext w:val="0"/>
        <w:keepLines w:val="0"/>
        <w:pageBreakBefore w:val="0"/>
        <w:widowControl w:val="0"/>
        <w:kinsoku/>
        <w:wordWrap/>
        <w:overflowPunct/>
        <w:topLinePunct w:val="0"/>
        <w:autoSpaceDE/>
        <w:autoSpaceDN/>
        <w:bidi w:val="0"/>
        <w:spacing w:line="560" w:lineRule="exact"/>
        <w:ind w:firstLine="628" w:firstLineChars="200"/>
        <w:textAlignment w:val="auto"/>
        <w:outlineLvl w:val="9"/>
        <w:rPr>
          <w:rFonts w:hint="eastAsia" w:ascii="仿宋_GB2312" w:hAnsi="仿宋_GB2312" w:eastAsia="仿宋_GB2312"/>
          <w:spacing w:val="-3"/>
          <w:sz w:val="32"/>
          <w:szCs w:val="32"/>
        </w:rPr>
      </w:pPr>
      <w:r>
        <w:rPr>
          <w:rFonts w:hint="eastAsia" w:ascii="仿宋_GB2312" w:hAnsi="仿宋_GB2312" w:eastAsia="仿宋_GB2312"/>
          <w:spacing w:val="-3"/>
          <w:sz w:val="32"/>
          <w:szCs w:val="32"/>
        </w:rPr>
        <w:t xml:space="preserve">有下列行为之一的，均属侵犯注册商标专用权：（六）故意为侵犯他人商标专用权行为提供便利条件，帮助他人实施侵犯商标专用权行为的； </w:t>
      </w:r>
    </w:p>
    <w:p w14:paraId="70DFC98F">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outlineLvl w:val="9"/>
        <w:rPr>
          <w:rFonts w:hint="eastAsia" w:ascii="仿宋_GB2312" w:hAnsi="仿宋_GB2312" w:eastAsia="仿宋_GB2312"/>
          <w:b/>
          <w:bCs/>
          <w:spacing w:val="-3"/>
          <w:sz w:val="32"/>
          <w:szCs w:val="32"/>
          <w:lang w:eastAsia="zh-CN"/>
        </w:rPr>
      </w:pPr>
      <w:r>
        <w:rPr>
          <w:rFonts w:hint="eastAsia" w:ascii="仿宋_GB2312" w:hAnsi="仿宋_GB2312" w:eastAsia="仿宋_GB2312"/>
          <w:b/>
          <w:bCs/>
          <w:spacing w:val="-3"/>
          <w:sz w:val="32"/>
          <w:szCs w:val="32"/>
          <w:lang w:eastAsia="zh-CN"/>
        </w:rPr>
        <w:t>《中华人民共和国商标法》第六十条第二款：</w:t>
      </w:r>
    </w:p>
    <w:p w14:paraId="2533F81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lang w:eastAsia="zh-CN"/>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14:paraId="51045959">
      <w:pPr>
        <w:keepNext w:val="0"/>
        <w:keepLines w:val="0"/>
        <w:pageBreakBefore w:val="0"/>
        <w:widowControl w:val="0"/>
        <w:kinsoku/>
        <w:wordWrap/>
        <w:overflowPunct/>
        <w:topLinePunct w:val="0"/>
        <w:autoSpaceDE/>
        <w:autoSpaceDN/>
        <w:bidi w:val="0"/>
        <w:adjustRightInd/>
        <w:snapToGrid/>
        <w:spacing w:line="520" w:lineRule="exact"/>
        <w:ind w:firstLine="631" w:firstLineChars="200"/>
        <w:textAlignment w:val="auto"/>
        <w:rPr>
          <w:rFonts w:ascii="仿宋_GB2312" w:hAnsi="仿宋_GB2312" w:eastAsia="仿宋_GB2312" w:cs="Times New Roman"/>
          <w:b/>
          <w:bCs/>
          <w:spacing w:val="-3"/>
          <w:sz w:val="32"/>
          <w:szCs w:val="32"/>
        </w:rPr>
      </w:pPr>
      <w:r>
        <w:rPr>
          <w:rFonts w:hint="eastAsia" w:ascii="仿宋_GB2312" w:hAnsi="仿宋_GB2312" w:eastAsia="仿宋_GB2312" w:cs="仿宋_GB2312"/>
          <w:b/>
          <w:bCs/>
          <w:spacing w:val="-3"/>
          <w:sz w:val="32"/>
          <w:szCs w:val="32"/>
        </w:rPr>
        <w:t>《福建省市场监督管理行政处罚裁量权适用规则》第</w:t>
      </w:r>
      <w:r>
        <w:rPr>
          <w:rFonts w:hint="eastAsia" w:ascii="仿宋_GB2312" w:hAnsi="仿宋_GB2312" w:eastAsia="仿宋_GB2312" w:cs="仿宋_GB2312"/>
          <w:b/>
          <w:bCs/>
          <w:spacing w:val="-3"/>
          <w:sz w:val="32"/>
          <w:szCs w:val="32"/>
          <w:lang w:eastAsia="zh-CN"/>
        </w:rPr>
        <w:t>十八</w:t>
      </w:r>
      <w:r>
        <w:rPr>
          <w:rFonts w:hint="eastAsia" w:ascii="仿宋_GB2312" w:hAnsi="仿宋_GB2312" w:eastAsia="仿宋_GB2312" w:cs="仿宋_GB2312"/>
          <w:b/>
          <w:bCs/>
          <w:spacing w:val="-3"/>
          <w:sz w:val="32"/>
          <w:szCs w:val="32"/>
        </w:rPr>
        <w:t>条第</w:t>
      </w:r>
      <w:r>
        <w:rPr>
          <w:rFonts w:hint="eastAsia" w:ascii="仿宋_GB2312" w:hAnsi="仿宋_GB2312" w:eastAsia="仿宋_GB2312" w:cs="仿宋_GB2312"/>
          <w:b/>
          <w:bCs/>
          <w:spacing w:val="-3"/>
          <w:sz w:val="32"/>
          <w:szCs w:val="32"/>
          <w:lang w:eastAsia="zh-CN"/>
        </w:rPr>
        <w:t>一款</w:t>
      </w:r>
      <w:r>
        <w:rPr>
          <w:rFonts w:hint="eastAsia" w:ascii="仿宋_GB2312" w:hAnsi="仿宋_GB2312" w:eastAsia="仿宋_GB2312" w:cs="仿宋_GB2312"/>
          <w:b/>
          <w:bCs/>
          <w:spacing w:val="-3"/>
          <w:sz w:val="32"/>
          <w:szCs w:val="32"/>
        </w:rPr>
        <w:t>：</w:t>
      </w:r>
    </w:p>
    <w:p w14:paraId="7DDDAB03">
      <w:pPr>
        <w:keepNext w:val="0"/>
        <w:keepLines w:val="0"/>
        <w:pageBreakBefore w:val="0"/>
        <w:widowControl w:val="0"/>
        <w:kinsoku/>
        <w:wordWrap/>
        <w:overflowPunct/>
        <w:topLinePunct w:val="0"/>
        <w:autoSpaceDE/>
        <w:autoSpaceDN/>
        <w:bidi w:val="0"/>
        <w:adjustRightInd/>
        <w:snapToGrid/>
        <w:spacing w:line="520" w:lineRule="exact"/>
        <w:ind w:firstLine="628" w:firstLineChars="200"/>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当事人不具有不予行政处罚、减轻、从轻或者从重行政处罚情节的，原则上给予一般行政处罚。</w:t>
      </w:r>
    </w:p>
    <w:p w14:paraId="531293C4">
      <w:pPr>
        <w:keepNext w:val="0"/>
        <w:keepLines w:val="0"/>
        <w:pageBreakBefore w:val="0"/>
        <w:widowControl w:val="0"/>
        <w:kinsoku/>
        <w:wordWrap/>
        <w:overflowPunct/>
        <w:topLinePunct w:val="0"/>
        <w:autoSpaceDE/>
        <w:autoSpaceDN/>
        <w:bidi w:val="0"/>
        <w:spacing w:line="560" w:lineRule="exact"/>
        <w:ind w:firstLine="631" w:firstLineChars="200"/>
        <w:textAlignment w:val="auto"/>
        <w:outlineLvl w:val="9"/>
        <w:rPr>
          <w:rFonts w:ascii="仿宋_GB2312" w:hAnsi="仿宋_GB2312" w:eastAsia="仿宋_GB2312"/>
          <w:b/>
          <w:spacing w:val="-3"/>
          <w:sz w:val="32"/>
          <w:szCs w:val="32"/>
        </w:rPr>
      </w:pPr>
      <w:r>
        <w:rPr>
          <w:rFonts w:hint="eastAsia" w:ascii="仿宋_GB2312" w:hAnsi="仿宋_GB2312" w:eastAsia="仿宋_GB2312"/>
          <w:b/>
          <w:spacing w:val="-3"/>
          <w:sz w:val="32"/>
          <w:szCs w:val="32"/>
          <w:lang w:eastAsia="zh-CN"/>
        </w:rPr>
        <w:t>《</w:t>
      </w:r>
      <w:r>
        <w:rPr>
          <w:rFonts w:hint="eastAsia" w:ascii="仿宋_GB2312" w:hAnsi="仿宋_GB2312" w:eastAsia="仿宋_GB2312"/>
          <w:b/>
          <w:spacing w:val="-3"/>
          <w:sz w:val="32"/>
          <w:szCs w:val="32"/>
        </w:rPr>
        <w:t>福建省市场监督管理系统适用</w:t>
      </w:r>
      <w:r>
        <w:rPr>
          <w:rFonts w:hint="eastAsia" w:ascii="仿宋_GB2312" w:hAnsi="仿宋_GB2312" w:eastAsia="仿宋_GB2312"/>
          <w:b/>
          <w:spacing w:val="-3"/>
          <w:sz w:val="32"/>
          <w:szCs w:val="32"/>
          <w:lang w:val="en-US" w:eastAsia="zh-CN"/>
        </w:rPr>
        <w:t>&lt;</w:t>
      </w:r>
      <w:r>
        <w:rPr>
          <w:rFonts w:hint="eastAsia" w:ascii="仿宋_GB2312" w:hAnsi="仿宋_GB2312" w:eastAsia="仿宋_GB2312"/>
          <w:b/>
          <w:spacing w:val="-3"/>
          <w:sz w:val="32"/>
          <w:szCs w:val="32"/>
        </w:rPr>
        <w:t>商标法</w:t>
      </w:r>
      <w:r>
        <w:rPr>
          <w:rFonts w:hint="eastAsia" w:ascii="仿宋_GB2312" w:hAnsi="仿宋_GB2312" w:eastAsia="仿宋_GB2312"/>
          <w:b/>
          <w:spacing w:val="-3"/>
          <w:sz w:val="32"/>
          <w:szCs w:val="32"/>
          <w:lang w:val="en-US" w:eastAsia="zh-CN"/>
        </w:rPr>
        <w:t>&gt;</w:t>
      </w:r>
      <w:r>
        <w:rPr>
          <w:rFonts w:hint="eastAsia" w:ascii="仿宋_GB2312" w:hAnsi="仿宋_GB2312" w:eastAsia="仿宋_GB2312"/>
          <w:b/>
          <w:spacing w:val="-3"/>
          <w:sz w:val="32"/>
          <w:szCs w:val="32"/>
        </w:rPr>
        <w:t>行政处罚裁量基准》</w:t>
      </w:r>
      <w:r>
        <w:rPr>
          <w:rFonts w:hint="eastAsia" w:ascii="仿宋_GB2312" w:hAnsi="仿宋_GB2312" w:eastAsia="仿宋_GB2312"/>
          <w:b/>
          <w:spacing w:val="-3"/>
          <w:sz w:val="32"/>
          <w:szCs w:val="32"/>
          <w:lang w:val="en-US" w:eastAsia="zh-CN"/>
        </w:rPr>
        <w:t>SB-3</w:t>
      </w:r>
      <w:r>
        <w:rPr>
          <w:rFonts w:hint="eastAsia" w:ascii="仿宋_GB2312" w:hAnsi="仿宋_GB2312" w:eastAsia="仿宋_GB2312"/>
          <w:b/>
          <w:spacing w:val="-3"/>
          <w:sz w:val="32"/>
          <w:szCs w:val="32"/>
        </w:rPr>
        <w:t>：</w:t>
      </w:r>
    </w:p>
    <w:p w14:paraId="654CD775">
      <w:pPr>
        <w:keepNext w:val="0"/>
        <w:keepLines w:val="0"/>
        <w:pageBreakBefore w:val="0"/>
        <w:widowControl w:val="0"/>
        <w:kinsoku/>
        <w:wordWrap/>
        <w:overflowPunct/>
        <w:topLinePunct w:val="0"/>
        <w:autoSpaceDE/>
        <w:autoSpaceDN/>
        <w:bidi w:val="0"/>
        <w:spacing w:line="560" w:lineRule="exact"/>
        <w:ind w:firstLine="628" w:firstLineChars="200"/>
        <w:textAlignment w:val="auto"/>
        <w:outlineLvl w:val="9"/>
        <w:rPr>
          <w:rFonts w:hint="eastAsia" w:ascii="仿宋_GB2312" w:hAnsi="仿宋_GB2312" w:eastAsia="仿宋_GB2312"/>
          <w:spacing w:val="-3"/>
          <w:sz w:val="32"/>
          <w:szCs w:val="32"/>
          <w:lang w:eastAsia="zh-CN"/>
        </w:rPr>
      </w:pPr>
      <w:r>
        <w:rPr>
          <w:rFonts w:hint="eastAsia" w:ascii="仿宋_GB2312" w:hAnsi="仿宋_GB2312" w:eastAsia="仿宋_GB2312"/>
          <w:spacing w:val="-3"/>
          <w:sz w:val="32"/>
          <w:szCs w:val="32"/>
        </w:rPr>
        <w:t>违法行为与法定罚则</w:t>
      </w:r>
      <w:r>
        <w:rPr>
          <w:rFonts w:hint="eastAsia" w:ascii="仿宋_GB2312" w:hAnsi="仿宋_GB2312" w:eastAsia="仿宋_GB2312"/>
          <w:spacing w:val="-3"/>
          <w:sz w:val="32"/>
          <w:szCs w:val="32"/>
          <w:lang w:eastAsia="zh-CN"/>
        </w:rPr>
        <w:t>：《商标法》第五十七条、第六十条第二款；</w:t>
      </w:r>
      <w:r>
        <w:rPr>
          <w:rFonts w:hint="eastAsia" w:ascii="仿宋_GB2312" w:hAnsi="仿宋_GB2312" w:eastAsia="仿宋_GB2312"/>
          <w:spacing w:val="-3"/>
          <w:sz w:val="32"/>
          <w:szCs w:val="32"/>
        </w:rPr>
        <w:t>违法情节：</w:t>
      </w:r>
      <w:r>
        <w:rPr>
          <w:rFonts w:hint="eastAsia" w:ascii="仿宋_GB2312" w:hAnsi="仿宋_GB2312" w:eastAsia="仿宋_GB2312"/>
          <w:spacing w:val="-3"/>
          <w:sz w:val="32"/>
          <w:szCs w:val="32"/>
          <w:lang w:eastAsia="zh-CN"/>
        </w:rPr>
        <w:t>一般</w:t>
      </w:r>
      <w:r>
        <w:rPr>
          <w:rFonts w:hint="eastAsia" w:ascii="仿宋_GB2312" w:hAnsi="仿宋_GB2312" w:eastAsia="仿宋_GB2312"/>
          <w:spacing w:val="-3"/>
          <w:sz w:val="32"/>
          <w:szCs w:val="32"/>
        </w:rPr>
        <w:t>情节；裁量幅度：违法经营额5万元以上的，处违法经营额1.5倍以上3.5倍以下罚款；没有违法经营额或者违法经营额不足5万元的，处7.5万元以上17.5万元以下的罚款</w:t>
      </w:r>
    </w:p>
    <w:p w14:paraId="49B803CD">
      <w:pPr>
        <w:keepNext w:val="0"/>
        <w:keepLines w:val="0"/>
        <w:pageBreakBefore w:val="0"/>
        <w:kinsoku/>
        <w:overflowPunct/>
        <w:topLinePunct w:val="0"/>
        <w:autoSpaceDE/>
        <w:autoSpaceDN/>
        <w:bidi w:val="0"/>
        <w:spacing w:line="560" w:lineRule="exact"/>
        <w:outlineLvl w:val="9"/>
        <w:rPr>
          <w:rFonts w:hint="eastAsia" w:ascii="仿宋_GB2312" w:eastAsia="仿宋_GB2312"/>
          <w:sz w:val="32"/>
          <w:szCs w:val="32"/>
          <w:highlight w:val="none"/>
        </w:rPr>
      </w:pPr>
    </w:p>
    <w:sectPr>
      <w:pgSz w:w="11906" w:h="16838"/>
      <w:pgMar w:top="1440" w:right="141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6304">
    <w:pPr>
      <w:pStyle w:val="3"/>
      <w:jc w:val="center"/>
      <w:rPr>
        <w:rFonts w:hint="eastAsia"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6335" cy="230505"/>
              <wp:effectExtent l="0" t="0" r="0" b="0"/>
              <wp:wrapNone/>
              <wp:docPr id="5" name="文本框2"/>
              <wp:cNvGraphicFramePr/>
              <a:graphic xmlns:a="http://schemas.openxmlformats.org/drawingml/2006/main">
                <a:graphicData uri="http://schemas.microsoft.com/office/word/2010/wordprocessingShape">
                  <wps:wsp>
                    <wps:cNvSpPr/>
                    <wps:spPr>
                      <a:xfrm>
                        <a:off x="0" y="0"/>
                        <a:ext cx="1156335" cy="230505"/>
                      </a:xfrm>
                      <a:prstGeom prst="rect">
                        <a:avLst/>
                      </a:prstGeom>
                      <a:noFill/>
                      <a:ln w="9525">
                        <a:noFill/>
                      </a:ln>
                    </wps:spPr>
                    <wps:txbx>
                      <w:txbxContent>
                        <w:p w14:paraId="3F895964">
                          <w:pPr>
                            <w:pStyle w:val="3"/>
                            <w:jc w:val="center"/>
                          </w:pPr>
                          <w:r>
                            <w:rPr>
                              <w:rFonts w:hint="eastAsia" w:ascii="宋体" w:hAnsi="宋体"/>
                              <w:sz w:val="28"/>
                              <w:szCs w:val="28"/>
                            </w:rPr>
                            <w:t>第</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4</w:t>
                          </w:r>
                          <w:r>
                            <w:rPr>
                              <w:rFonts w:ascii="宋体" w:hAnsi="宋体"/>
                              <w:sz w:val="28"/>
                              <w:szCs w:val="28"/>
                            </w:rPr>
                            <w:fldChar w:fldCharType="end"/>
                          </w:r>
                          <w:r>
                            <w:rPr>
                              <w:rStyle w:val="9"/>
                              <w:rFonts w:hint="eastAsia" w:ascii="宋体" w:hAnsi="宋体"/>
                              <w:sz w:val="28"/>
                              <w:szCs w:val="28"/>
                            </w:rPr>
                            <w:t>页 共</w:t>
                          </w:r>
                          <w:r>
                            <w:rPr>
                              <w:rFonts w:hint="eastAsia" w:ascii="宋体" w:hAnsi="宋体"/>
                              <w:sz w:val="28"/>
                              <w:szCs w:val="28"/>
                            </w:rPr>
                            <w:fldChar w:fldCharType="begin"/>
                          </w:r>
                          <w:r>
                            <w:rPr>
                              <w:rFonts w:hint="eastAsia" w:ascii="宋体" w:hAnsi="宋体"/>
                              <w:sz w:val="28"/>
                              <w:szCs w:val="28"/>
                            </w:rPr>
                            <w:instrText xml:space="preserve"> SECTIONPAGES \* MERGEFORMAT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Style w:val="9"/>
                              <w:rFonts w:hint="eastAsia" w:ascii="宋体" w:hAnsi="宋体"/>
                              <w:sz w:val="28"/>
                              <w:szCs w:val="28"/>
                            </w:rPr>
                            <w:t>页</w:t>
                          </w:r>
                        </w:p>
                      </w:txbxContent>
                    </wps:txbx>
                    <wps:bodyPr wrap="none" lIns="0" tIns="0" rIns="0" bIns="0" upright="0">
                      <a:spAutoFit/>
                    </wps:bodyPr>
                  </wps:wsp>
                </a:graphicData>
              </a:graphic>
            </wp:anchor>
          </w:drawing>
        </mc:Choice>
        <mc:Fallback>
          <w:pict>
            <v:rect id="文本框2" o:spid="_x0000_s1026" o:spt="1" style="position:absolute;left:0pt;margin-top:0pt;height:18.15pt;width:91.05pt;mso-position-horizontal:center;mso-position-horizontal-relative:margin;mso-wrap-style:none;z-index:251659264;mso-width-relative:page;mso-height-relative:page;" filled="f" stroked="f" coordsize="21600,21600" o:gfxdata="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oFHjHSAAAABAEAAA8AAAAAAAAAAQAgAAAAIgAAAGRycy9k&#10;b3ducmV2LnhtbFBLAQIUABQAAAAIAIdO4kBnEmbHzwEAAJYDAAAOAAAAAAAAAAEAIAAAACEBAABk&#10;cnMvZTJvRG9jLnhtbFBLBQYAAAAABgAGAFkBAABiBQAAAAA=&#10;">
              <v:fill on="f" focussize="0,0"/>
              <v:stroke on="f"/>
              <v:imagedata o:title=""/>
              <o:lock v:ext="edit" aspectratio="f"/>
              <v:textbox inset="0mm,0mm,0mm,0mm" style="mso-fit-shape-to-text:t;">
                <w:txbxContent>
                  <w:p w14:paraId="3F895964">
                    <w:pPr>
                      <w:pStyle w:val="3"/>
                      <w:jc w:val="center"/>
                    </w:pPr>
                    <w:r>
                      <w:rPr>
                        <w:rFonts w:hint="eastAsia" w:ascii="宋体" w:hAnsi="宋体"/>
                        <w:sz w:val="28"/>
                        <w:szCs w:val="28"/>
                      </w:rPr>
                      <w:t>第</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4</w:t>
                    </w:r>
                    <w:r>
                      <w:rPr>
                        <w:rFonts w:ascii="宋体" w:hAnsi="宋体"/>
                        <w:sz w:val="28"/>
                        <w:szCs w:val="28"/>
                      </w:rPr>
                      <w:fldChar w:fldCharType="end"/>
                    </w:r>
                    <w:r>
                      <w:rPr>
                        <w:rStyle w:val="9"/>
                        <w:rFonts w:hint="eastAsia" w:ascii="宋体" w:hAnsi="宋体"/>
                        <w:sz w:val="28"/>
                        <w:szCs w:val="28"/>
                      </w:rPr>
                      <w:t>页 共</w:t>
                    </w:r>
                    <w:r>
                      <w:rPr>
                        <w:rFonts w:hint="eastAsia" w:ascii="宋体" w:hAnsi="宋体"/>
                        <w:sz w:val="28"/>
                        <w:szCs w:val="28"/>
                      </w:rPr>
                      <w:fldChar w:fldCharType="begin"/>
                    </w:r>
                    <w:r>
                      <w:rPr>
                        <w:rFonts w:hint="eastAsia" w:ascii="宋体" w:hAnsi="宋体"/>
                        <w:sz w:val="28"/>
                        <w:szCs w:val="28"/>
                      </w:rPr>
                      <w:instrText xml:space="preserve"> SECTIONPAGES \* MERGEFORMAT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Style w:val="9"/>
                        <w:rFonts w:hint="eastAsia" w:ascii="宋体" w:hAnsi="宋体"/>
                        <w:sz w:val="28"/>
                        <w:szCs w:val="28"/>
                      </w:rPr>
                      <w:t>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D0EB">
    <w:pPr>
      <w:pStyle w:val="3"/>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C0A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D00BA"/>
    <w:rsid w:val="00007C5F"/>
    <w:rsid w:val="00026505"/>
    <w:rsid w:val="00035CA7"/>
    <w:rsid w:val="00040061"/>
    <w:rsid w:val="00042902"/>
    <w:rsid w:val="00055ADF"/>
    <w:rsid w:val="000673D2"/>
    <w:rsid w:val="00067C9A"/>
    <w:rsid w:val="000762A2"/>
    <w:rsid w:val="00092E13"/>
    <w:rsid w:val="0009656A"/>
    <w:rsid w:val="000A038E"/>
    <w:rsid w:val="000A19FD"/>
    <w:rsid w:val="000A2C26"/>
    <w:rsid w:val="000E1196"/>
    <w:rsid w:val="00100B25"/>
    <w:rsid w:val="00136B5E"/>
    <w:rsid w:val="0014139C"/>
    <w:rsid w:val="001427AE"/>
    <w:rsid w:val="00151C32"/>
    <w:rsid w:val="0015284F"/>
    <w:rsid w:val="001544B0"/>
    <w:rsid w:val="00160674"/>
    <w:rsid w:val="001621CB"/>
    <w:rsid w:val="001937BD"/>
    <w:rsid w:val="001B0B2F"/>
    <w:rsid w:val="001B4AAB"/>
    <w:rsid w:val="001B5F59"/>
    <w:rsid w:val="001B78AA"/>
    <w:rsid w:val="001B78B7"/>
    <w:rsid w:val="001C55A7"/>
    <w:rsid w:val="001E3D4C"/>
    <w:rsid w:val="001E7D77"/>
    <w:rsid w:val="00220AF4"/>
    <w:rsid w:val="002330EB"/>
    <w:rsid w:val="00242ACC"/>
    <w:rsid w:val="00243A43"/>
    <w:rsid w:val="00244875"/>
    <w:rsid w:val="00245EF2"/>
    <w:rsid w:val="00265423"/>
    <w:rsid w:val="002673A0"/>
    <w:rsid w:val="00271341"/>
    <w:rsid w:val="00290DB2"/>
    <w:rsid w:val="00294891"/>
    <w:rsid w:val="002956EA"/>
    <w:rsid w:val="002A27C9"/>
    <w:rsid w:val="002A4BDB"/>
    <w:rsid w:val="002D55F2"/>
    <w:rsid w:val="002F5116"/>
    <w:rsid w:val="00302665"/>
    <w:rsid w:val="00305D16"/>
    <w:rsid w:val="0031246D"/>
    <w:rsid w:val="003253A3"/>
    <w:rsid w:val="00334CE1"/>
    <w:rsid w:val="00335406"/>
    <w:rsid w:val="0033626F"/>
    <w:rsid w:val="00340B76"/>
    <w:rsid w:val="00341EBB"/>
    <w:rsid w:val="003547C9"/>
    <w:rsid w:val="00355313"/>
    <w:rsid w:val="00355E6E"/>
    <w:rsid w:val="00361DEA"/>
    <w:rsid w:val="00365D6A"/>
    <w:rsid w:val="00367BC0"/>
    <w:rsid w:val="0038020F"/>
    <w:rsid w:val="003A1F77"/>
    <w:rsid w:val="003A5B9C"/>
    <w:rsid w:val="003A726D"/>
    <w:rsid w:val="003B5510"/>
    <w:rsid w:val="003F0880"/>
    <w:rsid w:val="003F3973"/>
    <w:rsid w:val="0040225D"/>
    <w:rsid w:val="00422884"/>
    <w:rsid w:val="00425782"/>
    <w:rsid w:val="00434833"/>
    <w:rsid w:val="00452974"/>
    <w:rsid w:val="0046297B"/>
    <w:rsid w:val="00463B1E"/>
    <w:rsid w:val="00465A03"/>
    <w:rsid w:val="00476B98"/>
    <w:rsid w:val="004773A5"/>
    <w:rsid w:val="004A6218"/>
    <w:rsid w:val="004B03FE"/>
    <w:rsid w:val="004B5CE2"/>
    <w:rsid w:val="004C2EC8"/>
    <w:rsid w:val="004C7F9E"/>
    <w:rsid w:val="004D5C6D"/>
    <w:rsid w:val="004E06FB"/>
    <w:rsid w:val="004E3E19"/>
    <w:rsid w:val="004F307B"/>
    <w:rsid w:val="005106F6"/>
    <w:rsid w:val="0052015F"/>
    <w:rsid w:val="00541265"/>
    <w:rsid w:val="0054365E"/>
    <w:rsid w:val="0055175D"/>
    <w:rsid w:val="005616A3"/>
    <w:rsid w:val="00572589"/>
    <w:rsid w:val="00575650"/>
    <w:rsid w:val="0058517F"/>
    <w:rsid w:val="005C1D01"/>
    <w:rsid w:val="005C3898"/>
    <w:rsid w:val="005E1DF5"/>
    <w:rsid w:val="005E215A"/>
    <w:rsid w:val="005F04F0"/>
    <w:rsid w:val="005F11B0"/>
    <w:rsid w:val="005F7A78"/>
    <w:rsid w:val="00604E60"/>
    <w:rsid w:val="00623F45"/>
    <w:rsid w:val="00631491"/>
    <w:rsid w:val="00640D7F"/>
    <w:rsid w:val="00644482"/>
    <w:rsid w:val="00665C8A"/>
    <w:rsid w:val="00680F35"/>
    <w:rsid w:val="006845A7"/>
    <w:rsid w:val="006A3FB5"/>
    <w:rsid w:val="006B2415"/>
    <w:rsid w:val="006B6F21"/>
    <w:rsid w:val="006C38E1"/>
    <w:rsid w:val="006E4499"/>
    <w:rsid w:val="006E5896"/>
    <w:rsid w:val="006F0F1A"/>
    <w:rsid w:val="0070363C"/>
    <w:rsid w:val="0070442A"/>
    <w:rsid w:val="007076E0"/>
    <w:rsid w:val="00730756"/>
    <w:rsid w:val="00732FAB"/>
    <w:rsid w:val="00751F40"/>
    <w:rsid w:val="0075663F"/>
    <w:rsid w:val="007613F5"/>
    <w:rsid w:val="0076309F"/>
    <w:rsid w:val="0077092F"/>
    <w:rsid w:val="00774D53"/>
    <w:rsid w:val="00787A11"/>
    <w:rsid w:val="007D1080"/>
    <w:rsid w:val="007D2148"/>
    <w:rsid w:val="007D27B5"/>
    <w:rsid w:val="00802478"/>
    <w:rsid w:val="008170DF"/>
    <w:rsid w:val="00825F55"/>
    <w:rsid w:val="0083102C"/>
    <w:rsid w:val="00834233"/>
    <w:rsid w:val="008433B9"/>
    <w:rsid w:val="008602ED"/>
    <w:rsid w:val="00874CA8"/>
    <w:rsid w:val="008775F6"/>
    <w:rsid w:val="008824C5"/>
    <w:rsid w:val="00882FC4"/>
    <w:rsid w:val="00884ECD"/>
    <w:rsid w:val="0089399F"/>
    <w:rsid w:val="008A7F9E"/>
    <w:rsid w:val="008B03CF"/>
    <w:rsid w:val="008D43D9"/>
    <w:rsid w:val="008D4AD0"/>
    <w:rsid w:val="008D51AE"/>
    <w:rsid w:val="00922885"/>
    <w:rsid w:val="00927C56"/>
    <w:rsid w:val="00933A44"/>
    <w:rsid w:val="009469DD"/>
    <w:rsid w:val="009555F3"/>
    <w:rsid w:val="00960790"/>
    <w:rsid w:val="00964F56"/>
    <w:rsid w:val="00983F7F"/>
    <w:rsid w:val="00990DF3"/>
    <w:rsid w:val="00997CC4"/>
    <w:rsid w:val="009A2C27"/>
    <w:rsid w:val="009A36EB"/>
    <w:rsid w:val="009A3D18"/>
    <w:rsid w:val="009A6872"/>
    <w:rsid w:val="009A6AA4"/>
    <w:rsid w:val="009B461B"/>
    <w:rsid w:val="009E1D83"/>
    <w:rsid w:val="009E2C61"/>
    <w:rsid w:val="009E324F"/>
    <w:rsid w:val="009E486E"/>
    <w:rsid w:val="009F13A3"/>
    <w:rsid w:val="009F2A8E"/>
    <w:rsid w:val="00A061AF"/>
    <w:rsid w:val="00A11498"/>
    <w:rsid w:val="00A32282"/>
    <w:rsid w:val="00A34EE4"/>
    <w:rsid w:val="00A523F9"/>
    <w:rsid w:val="00A65C6A"/>
    <w:rsid w:val="00A71EAA"/>
    <w:rsid w:val="00A83C1F"/>
    <w:rsid w:val="00AA3C13"/>
    <w:rsid w:val="00AA4750"/>
    <w:rsid w:val="00AB05F0"/>
    <w:rsid w:val="00AC17A6"/>
    <w:rsid w:val="00AC3624"/>
    <w:rsid w:val="00AC7EFB"/>
    <w:rsid w:val="00AD4C43"/>
    <w:rsid w:val="00AE02FD"/>
    <w:rsid w:val="00AE2A4C"/>
    <w:rsid w:val="00AE4F08"/>
    <w:rsid w:val="00B37A89"/>
    <w:rsid w:val="00B56FBB"/>
    <w:rsid w:val="00B65207"/>
    <w:rsid w:val="00B65A68"/>
    <w:rsid w:val="00B66F3D"/>
    <w:rsid w:val="00B80E8E"/>
    <w:rsid w:val="00B96A99"/>
    <w:rsid w:val="00BA7B4E"/>
    <w:rsid w:val="00BC2E96"/>
    <w:rsid w:val="00BC6CB1"/>
    <w:rsid w:val="00BD2752"/>
    <w:rsid w:val="00BE505C"/>
    <w:rsid w:val="00BF4753"/>
    <w:rsid w:val="00C053B3"/>
    <w:rsid w:val="00C165D2"/>
    <w:rsid w:val="00C47DE6"/>
    <w:rsid w:val="00C51CEC"/>
    <w:rsid w:val="00C53AF3"/>
    <w:rsid w:val="00C53B0B"/>
    <w:rsid w:val="00C53C8D"/>
    <w:rsid w:val="00C5637A"/>
    <w:rsid w:val="00C739D4"/>
    <w:rsid w:val="00C7467B"/>
    <w:rsid w:val="00C84D72"/>
    <w:rsid w:val="00C91469"/>
    <w:rsid w:val="00CC1EE6"/>
    <w:rsid w:val="00CC2172"/>
    <w:rsid w:val="00CC37C4"/>
    <w:rsid w:val="00CD0491"/>
    <w:rsid w:val="00CD1D4C"/>
    <w:rsid w:val="00CE1E84"/>
    <w:rsid w:val="00D05498"/>
    <w:rsid w:val="00D34986"/>
    <w:rsid w:val="00D42D4D"/>
    <w:rsid w:val="00D43B63"/>
    <w:rsid w:val="00D559E3"/>
    <w:rsid w:val="00D64780"/>
    <w:rsid w:val="00D6597A"/>
    <w:rsid w:val="00D82956"/>
    <w:rsid w:val="00D82CF8"/>
    <w:rsid w:val="00D97500"/>
    <w:rsid w:val="00DC0984"/>
    <w:rsid w:val="00DC3A0C"/>
    <w:rsid w:val="00DC4412"/>
    <w:rsid w:val="00DD5AC4"/>
    <w:rsid w:val="00DE5ACA"/>
    <w:rsid w:val="00E12E87"/>
    <w:rsid w:val="00E14022"/>
    <w:rsid w:val="00E15889"/>
    <w:rsid w:val="00E15EB7"/>
    <w:rsid w:val="00E5214C"/>
    <w:rsid w:val="00E53C99"/>
    <w:rsid w:val="00E65021"/>
    <w:rsid w:val="00E845E7"/>
    <w:rsid w:val="00E84CFF"/>
    <w:rsid w:val="00E86C98"/>
    <w:rsid w:val="00E91E5B"/>
    <w:rsid w:val="00E9385A"/>
    <w:rsid w:val="00E95348"/>
    <w:rsid w:val="00EA2183"/>
    <w:rsid w:val="00EB3A6C"/>
    <w:rsid w:val="00EC6C67"/>
    <w:rsid w:val="00ED349D"/>
    <w:rsid w:val="00ED5635"/>
    <w:rsid w:val="00EE46B0"/>
    <w:rsid w:val="00EF3AAD"/>
    <w:rsid w:val="00EF79EB"/>
    <w:rsid w:val="00F237B8"/>
    <w:rsid w:val="00F246D0"/>
    <w:rsid w:val="00F26061"/>
    <w:rsid w:val="00F3137A"/>
    <w:rsid w:val="00F32EFC"/>
    <w:rsid w:val="00F351FC"/>
    <w:rsid w:val="00F35FA7"/>
    <w:rsid w:val="00F44C67"/>
    <w:rsid w:val="00F57804"/>
    <w:rsid w:val="00F603B9"/>
    <w:rsid w:val="00F7051C"/>
    <w:rsid w:val="00F727C0"/>
    <w:rsid w:val="00F72958"/>
    <w:rsid w:val="00F773C3"/>
    <w:rsid w:val="00F77C0B"/>
    <w:rsid w:val="00F94E26"/>
    <w:rsid w:val="00F967C8"/>
    <w:rsid w:val="00FA1F9E"/>
    <w:rsid w:val="00FA205A"/>
    <w:rsid w:val="00FB3D29"/>
    <w:rsid w:val="00FC3DD8"/>
    <w:rsid w:val="00FC5E72"/>
    <w:rsid w:val="00FC6BAB"/>
    <w:rsid w:val="00FD07C4"/>
    <w:rsid w:val="00FE5708"/>
    <w:rsid w:val="00FF58EF"/>
    <w:rsid w:val="01421E2F"/>
    <w:rsid w:val="02207A55"/>
    <w:rsid w:val="024F3CD3"/>
    <w:rsid w:val="027D2D6F"/>
    <w:rsid w:val="033E2DF4"/>
    <w:rsid w:val="038D6376"/>
    <w:rsid w:val="0535501C"/>
    <w:rsid w:val="06032AA5"/>
    <w:rsid w:val="06A80041"/>
    <w:rsid w:val="06BB4335"/>
    <w:rsid w:val="07082C55"/>
    <w:rsid w:val="07157FCA"/>
    <w:rsid w:val="082B14C3"/>
    <w:rsid w:val="08B27CB4"/>
    <w:rsid w:val="08BC5B42"/>
    <w:rsid w:val="09AA6347"/>
    <w:rsid w:val="0A613699"/>
    <w:rsid w:val="0AE31D33"/>
    <w:rsid w:val="0AF257E0"/>
    <w:rsid w:val="0BBB2AD1"/>
    <w:rsid w:val="0C16330F"/>
    <w:rsid w:val="0E0678A6"/>
    <w:rsid w:val="0ED21557"/>
    <w:rsid w:val="0F011848"/>
    <w:rsid w:val="0FB25258"/>
    <w:rsid w:val="110F42A1"/>
    <w:rsid w:val="128C7ACE"/>
    <w:rsid w:val="148465FF"/>
    <w:rsid w:val="14AC3BF4"/>
    <w:rsid w:val="14D55A99"/>
    <w:rsid w:val="1514512C"/>
    <w:rsid w:val="153E740E"/>
    <w:rsid w:val="1571032D"/>
    <w:rsid w:val="15F34D7E"/>
    <w:rsid w:val="18793FCA"/>
    <w:rsid w:val="1A4F0ED2"/>
    <w:rsid w:val="1A5D3A71"/>
    <w:rsid w:val="1A7E2EE4"/>
    <w:rsid w:val="1BA25AB8"/>
    <w:rsid w:val="1C6A7406"/>
    <w:rsid w:val="1D296D30"/>
    <w:rsid w:val="1DB93609"/>
    <w:rsid w:val="1F866400"/>
    <w:rsid w:val="1FE936C0"/>
    <w:rsid w:val="200B0BAA"/>
    <w:rsid w:val="212A0F9B"/>
    <w:rsid w:val="21FF345A"/>
    <w:rsid w:val="2346540E"/>
    <w:rsid w:val="26A02069"/>
    <w:rsid w:val="27915BE7"/>
    <w:rsid w:val="27DC4C2F"/>
    <w:rsid w:val="27F677A2"/>
    <w:rsid w:val="28F711D1"/>
    <w:rsid w:val="296D1FB2"/>
    <w:rsid w:val="296F0B70"/>
    <w:rsid w:val="2B6E306A"/>
    <w:rsid w:val="2C5129C0"/>
    <w:rsid w:val="2D8B53BA"/>
    <w:rsid w:val="30B9145F"/>
    <w:rsid w:val="32454049"/>
    <w:rsid w:val="32DC77A3"/>
    <w:rsid w:val="33606A81"/>
    <w:rsid w:val="33805A79"/>
    <w:rsid w:val="34DA5B18"/>
    <w:rsid w:val="34E85DFA"/>
    <w:rsid w:val="34F90ED2"/>
    <w:rsid w:val="357C14F7"/>
    <w:rsid w:val="35FA3CF9"/>
    <w:rsid w:val="361E3FE4"/>
    <w:rsid w:val="38330D04"/>
    <w:rsid w:val="387A25E0"/>
    <w:rsid w:val="39A826CE"/>
    <w:rsid w:val="39D35143"/>
    <w:rsid w:val="3A356ED1"/>
    <w:rsid w:val="3D1B43D1"/>
    <w:rsid w:val="3D6A3CBF"/>
    <w:rsid w:val="3DF8377F"/>
    <w:rsid w:val="3EBE79F9"/>
    <w:rsid w:val="41480AB2"/>
    <w:rsid w:val="42BC77D9"/>
    <w:rsid w:val="44453EB7"/>
    <w:rsid w:val="45B207F1"/>
    <w:rsid w:val="464B2657"/>
    <w:rsid w:val="46EA08A4"/>
    <w:rsid w:val="46F62240"/>
    <w:rsid w:val="474053FB"/>
    <w:rsid w:val="4756007C"/>
    <w:rsid w:val="47635552"/>
    <w:rsid w:val="47952313"/>
    <w:rsid w:val="48A13F46"/>
    <w:rsid w:val="48EA1E5F"/>
    <w:rsid w:val="490D3920"/>
    <w:rsid w:val="4A543E05"/>
    <w:rsid w:val="4EFB3B81"/>
    <w:rsid w:val="50747F21"/>
    <w:rsid w:val="50FF7AD6"/>
    <w:rsid w:val="51AB4B02"/>
    <w:rsid w:val="52C8202F"/>
    <w:rsid w:val="53663F57"/>
    <w:rsid w:val="53B43835"/>
    <w:rsid w:val="54206625"/>
    <w:rsid w:val="54A34228"/>
    <w:rsid w:val="55B277EA"/>
    <w:rsid w:val="56627D70"/>
    <w:rsid w:val="56854832"/>
    <w:rsid w:val="569B7BA2"/>
    <w:rsid w:val="575963D3"/>
    <w:rsid w:val="59EE0F38"/>
    <w:rsid w:val="5B0052FF"/>
    <w:rsid w:val="5C625612"/>
    <w:rsid w:val="5C873951"/>
    <w:rsid w:val="5DA75294"/>
    <w:rsid w:val="5E0C2EA9"/>
    <w:rsid w:val="5E250CB0"/>
    <w:rsid w:val="61735842"/>
    <w:rsid w:val="623D00BA"/>
    <w:rsid w:val="6412420E"/>
    <w:rsid w:val="643332F4"/>
    <w:rsid w:val="645C484F"/>
    <w:rsid w:val="64600235"/>
    <w:rsid w:val="657335C5"/>
    <w:rsid w:val="664D6957"/>
    <w:rsid w:val="68A7020D"/>
    <w:rsid w:val="69026F26"/>
    <w:rsid w:val="690F339D"/>
    <w:rsid w:val="69C65F6F"/>
    <w:rsid w:val="6A15179B"/>
    <w:rsid w:val="6A737090"/>
    <w:rsid w:val="6B6042CE"/>
    <w:rsid w:val="6BEC471A"/>
    <w:rsid w:val="6C335A63"/>
    <w:rsid w:val="6CAE256C"/>
    <w:rsid w:val="6D780433"/>
    <w:rsid w:val="6D7D3EFE"/>
    <w:rsid w:val="6DD51FBA"/>
    <w:rsid w:val="6E7474D3"/>
    <w:rsid w:val="6E8B7BCF"/>
    <w:rsid w:val="6FC622AE"/>
    <w:rsid w:val="6FC727F7"/>
    <w:rsid w:val="70FB2A5E"/>
    <w:rsid w:val="72787366"/>
    <w:rsid w:val="728C66E6"/>
    <w:rsid w:val="72BD0530"/>
    <w:rsid w:val="73483885"/>
    <w:rsid w:val="74A860F0"/>
    <w:rsid w:val="74EB708D"/>
    <w:rsid w:val="750629B0"/>
    <w:rsid w:val="758C0572"/>
    <w:rsid w:val="76496A2D"/>
    <w:rsid w:val="78181CFE"/>
    <w:rsid w:val="782C47FC"/>
    <w:rsid w:val="7A382A19"/>
    <w:rsid w:val="7AAD44B1"/>
    <w:rsid w:val="7C3E3A5C"/>
    <w:rsid w:val="7E023EB1"/>
    <w:rsid w:val="7E94162E"/>
    <w:rsid w:val="7F4B61A8"/>
    <w:rsid w:val="7F711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link w:val="8"/>
    <w:semiHidden/>
    <w:qFormat/>
    <w:uiPriority w:val="0"/>
    <w:rPr>
      <w:rFonts w:ascii="Verdana" w:hAnsi="Verdana"/>
      <w:kern w:val="0"/>
      <w:sz w:val="20"/>
      <w:lang w:eastAsia="en-US"/>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Char Char Char Char"/>
    <w:basedOn w:val="1"/>
    <w:link w:val="7"/>
    <w:qFormat/>
    <w:uiPriority w:val="0"/>
    <w:pPr>
      <w:widowControl/>
      <w:spacing w:after="160" w:line="240" w:lineRule="exact"/>
      <w:jc w:val="left"/>
    </w:pPr>
    <w:rPr>
      <w:rFonts w:ascii="Verdana" w:hAnsi="Verdana"/>
      <w:kern w:val="0"/>
      <w:sz w:val="20"/>
      <w:lang w:eastAsia="en-US"/>
    </w:rPr>
  </w:style>
  <w:style w:type="character" w:styleId="9">
    <w:name w:val="page number"/>
    <w:basedOn w:val="7"/>
    <w:qFormat/>
    <w:uiPriority w:val="0"/>
  </w:style>
  <w:style w:type="paragraph" w:customStyle="1" w:styleId="10">
    <w:name w:val="Char"/>
    <w:basedOn w:val="1"/>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2742</Words>
  <Characters>2954</Characters>
  <Lines>16</Lines>
  <Paragraphs>4</Paragraphs>
  <TotalTime>0</TotalTime>
  <ScaleCrop>false</ScaleCrop>
  <LinksUpToDate>false</LinksUpToDate>
  <CharactersWithSpaces>2994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2024-04-22T02:01:00Z</dcterms:created>
  <dc:creator>陈永威</dc:creator>
  <cp:lastModifiedBy>不问</cp:lastModifiedBy>
  <cp:lastPrinted>2025-08-25T08:32:00Z</cp:lastPrinted>
  <dcterms:modified xsi:type="dcterms:W3CDTF">2025-08-26T08:42:32Z</dcterms:modified>
  <dc:title>莆田市工商行政管理局发文稿纸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B7166838872F44EF8CB44E3338E99F5C_13</vt:lpwstr>
  </property>
  <property fmtid="{D5CDD505-2E9C-101B-9397-08002B2CF9AE}" pid="4" name="KSOTemplateDocerSaveRecord">
    <vt:lpwstr>eyJoZGlkIjoiM2YyYTY1OTNhYjNjM2I1M2MwZTQ4ODAzNGViYTNlMzciLCJ1c2VySWQiOiI3ODE3MTU0ODYifQ==</vt:lpwstr>
  </property>
</Properties>
</file>