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6D7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lang w:val="en-US" w:eastAsia="zh-CN" w:bidi="ar-SA"/>
        </w:rPr>
      </w:pPr>
      <w:r>
        <w:rPr>
          <w:rStyle w:val="5"/>
          <w:rFonts w:hint="eastAsia" w:eastAsia="方正小标宋_GBK" w:cs="Times New Roman"/>
          <w:sz w:val="44"/>
          <w:szCs w:val="44"/>
          <w:lang w:val="en-US" w:eastAsia="zh-CN"/>
        </w:rPr>
        <w:t>商城对《</w:t>
      </w:r>
      <w:r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lang w:val="en-US" w:eastAsia="zh-CN" w:bidi="ar-SA"/>
        </w:rPr>
        <w:t>商城打击治理电信网络诈骗犯罪</w:t>
      </w:r>
    </w:p>
    <w:p w14:paraId="6256F4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lang w:val="en-US" w:eastAsia="zh-CN" w:bidi="ar-SA"/>
        </w:rPr>
        <w:t>“</w:t>
      </w:r>
      <w:r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lang w:val="en-US" w:eastAsia="zh-CN" w:bidi="ar-SA"/>
        </w:rPr>
        <w:t>全民反诈在行动”集中宣传月工作方案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》 </w:t>
      </w:r>
      <w:r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lang w:val="en-US" w:eastAsia="zh-CN" w:bidi="ar-SA"/>
        </w:rPr>
        <w:t>的政策解读</w:t>
      </w:r>
    </w:p>
    <w:p w14:paraId="35D2D5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商城管委会印发了《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商城打击治理电信网络诈骗犯罪</w:t>
      </w:r>
    </w:p>
    <w:p w14:paraId="6A8AAE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560" w:lineRule="exact"/>
        <w:ind w:right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全民反诈在行动”集中宣传月工作方案》（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简称方案）。方案对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商城打击治理电信网络诈骗犯罪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全民反诈在行动”集中宣传月</w:t>
      </w:r>
      <w:r>
        <w:rPr>
          <w:rFonts w:hint="eastAsia" w:cs="仿宋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目标、</w:t>
      </w:r>
      <w:r>
        <w:rPr>
          <w:rFonts w:hint="eastAsia" w:cs="仿宋"/>
          <w:sz w:val="32"/>
          <w:szCs w:val="32"/>
          <w:lang w:val="en-US" w:eastAsia="zh-CN"/>
        </w:rPr>
        <w:t>宣传重点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cs="仿宋"/>
          <w:sz w:val="32"/>
          <w:szCs w:val="32"/>
          <w:lang w:eastAsia="zh-CN"/>
        </w:rPr>
        <w:t>工作步骤、工作要求等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方面进行了全面部署。</w:t>
      </w:r>
    </w:p>
    <w:p w14:paraId="282569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政策解读相关要求</w:t>
      </w:r>
    </w:p>
    <w:p w14:paraId="5F2443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1、公开范围</w:t>
      </w:r>
    </w:p>
    <w:p w14:paraId="248F59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商城社区商户群众</w:t>
      </w:r>
    </w:p>
    <w:p w14:paraId="230385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二、内容</w:t>
      </w:r>
    </w:p>
    <w:p w14:paraId="7432F5C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  <w:t>制定方案的必要性意义</w:t>
      </w:r>
    </w:p>
    <w:p w14:paraId="44DA1144">
      <w:pPr>
        <w:pStyle w:val="2"/>
        <w:keepNext w:val="0"/>
        <w:keepLines w:val="0"/>
        <w:pageBreakBefore w:val="0"/>
        <w:widowControl/>
        <w:tabs>
          <w:tab w:val="left" w:pos="17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7" w:line="560" w:lineRule="exact"/>
        <w:ind w:firstLine="660"/>
        <w:jc w:val="both"/>
        <w:textAlignment w:val="baseline"/>
        <w:rPr>
          <w:rFonts w:hint="eastAsia" w:ascii="仿宋_GB2312" w:hAnsi="Calibri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为深入贯彻落实习近平总书记对打击治理电信网络诈骗犯  罪工作的重要指示精神，为进一步织密反诈宣传“防护网”,构建全方位、广覆盖的反诈宣防体系，营造全社会反诈浓厚氛围，切实提高全民反诈意识和能力，坚决遏制电信网络诈骗案件高发态势。现根据省“131”机制办《关于传发&lt;全省打击治理电信网络诈骗犯罪“全民反诈在行动”集中宣传月工作方案&gt;的通知》(〔2024〕22号)文件要求，结合商城实际，经市“131”机制办研究，决定从即日起，在全市范围内开展为期1个月打击治理  电信网络诈骗犯罪集中宣传月活动，迅速掀起反诈宣传新热潮。紧扣以人民为中心的工作导向，发动全市各级党委、政府及各行业主管部门、社会各界共同完善全社会反诈宣传教育体系，持续深入开展反诈宣传，不断增强群众“免疫力”,控发案、减损失，全力守护广大人民群众“钱袋子”,切实提升人民群众获得感、幸福感、安全感。</w:t>
      </w:r>
    </w:p>
    <w:p w14:paraId="16F80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2、开展时间</w:t>
      </w:r>
    </w:p>
    <w:p w14:paraId="0D668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2024年7月1日-7月31日。</w:t>
      </w:r>
    </w:p>
    <w:p w14:paraId="273B2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工作目标</w:t>
      </w:r>
    </w:p>
    <w:p w14:paraId="1D8E0E56">
      <w:pPr>
        <w:pStyle w:val="2"/>
        <w:keepNext w:val="0"/>
        <w:keepLines w:val="0"/>
        <w:pageBreakBefore w:val="0"/>
        <w:widowControl/>
        <w:tabs>
          <w:tab w:val="left" w:pos="17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7" w:line="560" w:lineRule="exact"/>
        <w:ind w:firstLine="660"/>
        <w:jc w:val="both"/>
        <w:textAlignment w:val="baseline"/>
        <w:rPr>
          <w:rFonts w:hint="eastAsia" w:ascii="仿宋_GB2312" w:hAnsi="Calibri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本次打击治理电信网络诈骗犯罪集中宣传月活动主题为 “警惕诈骗新手法，不做电诈工具人”，通过集中宣传月活动，全面</w:t>
      </w:r>
      <w:bookmarkStart w:id="0" w:name="_GoBack"/>
      <w:bookmarkEnd w:id="0"/>
      <w:r>
        <w:rPr>
          <w:rFonts w:hint="eastAsia" w:ascii="仿宋_GB2312" w:hAnsi="Calibri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普及防范电信网络诈骗知识，全力提升广大人民群众的反诈防诈意识，有效遏制电信网络诈骗犯罪案件的高发、多发势头；普及《中华人民共和国反电信网络诈骗法》,使全民知法、懂法、守法，参与打击治理电信网络诈骗犯罪。</w:t>
      </w:r>
    </w:p>
    <w:p w14:paraId="06767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宣传重点</w:t>
      </w:r>
    </w:p>
    <w:p w14:paraId="498F0C9F">
      <w:pPr>
        <w:pStyle w:val="2"/>
        <w:keepNext w:val="0"/>
        <w:keepLines w:val="0"/>
        <w:pageBreakBefore w:val="0"/>
        <w:widowControl/>
        <w:tabs>
          <w:tab w:val="left" w:pos="17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20" w:firstLineChars="100"/>
        <w:jc w:val="both"/>
        <w:textAlignment w:val="baseline"/>
        <w:rPr>
          <w:rFonts w:hint="eastAsia" w:ascii="仿宋_GB2312" w:hAnsi="Calibri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（一）商城社区、机关各部门、网格员要利用微信公众号及居民群做好线上宣传，积极转发区、管委会宣传内容。宣传横幅标语等多种载体，主动向群众宣传电信网络诈骗，有效地提高群众的反骗意识，减少诈骗事件的发生。</w:t>
      </w:r>
      <w:r>
        <w:rPr>
          <w:rFonts w:hint="eastAsia" w:ascii="仿宋_GB2312" w:hAnsi="Calibri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Calibri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Calibri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Calibri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宣传各级党委、政府，各单位开展打击治理 电信网络诈骗工作举措及工作成效，宣传一批打击电信网络诈骗 犯罪典型案例，包括“云剑”“断卡”“断流”等专项行动和区域 会战、集群战役的突出战果。</w:t>
      </w:r>
    </w:p>
    <w:p w14:paraId="2B904287">
      <w:pPr>
        <w:pStyle w:val="2"/>
        <w:keepNext w:val="0"/>
        <w:keepLines w:val="0"/>
        <w:pageBreakBefore w:val="0"/>
        <w:widowControl/>
        <w:tabs>
          <w:tab w:val="left" w:pos="17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20" w:firstLineChars="100"/>
        <w:jc w:val="both"/>
        <w:textAlignment w:val="baseline"/>
        <w:rPr>
          <w:rFonts w:hint="eastAsia" w:ascii="仿宋_GB2312" w:hAnsi="Calibri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仿宋_GB2312" w:hAnsi="Calibri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报道宣传经验和典型案例。以《反诈法》为主线，宣传曝光买卖“两卡”、转账洗钱、推广引 流、网络黑灰产、非法偷渡等典型案例，以案释法，强化警示教 育，有效增强群众对电信网络诈骗关联违法犯罪的认识，防止成 为电诈“工具人”;结合预警劝阻宣传防成功案例，推广经验做 法，表扬优秀宣传人员。</w:t>
      </w:r>
    </w:p>
    <w:p w14:paraId="0034A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5、职能分工</w:t>
      </w:r>
    </w:p>
    <w:p w14:paraId="2B293727">
      <w:pPr>
        <w:pStyle w:val="2"/>
        <w:keepNext w:val="0"/>
        <w:keepLines w:val="0"/>
        <w:pageBreakBefore w:val="0"/>
        <w:widowControl/>
        <w:tabs>
          <w:tab w:val="left" w:pos="17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7" w:line="560" w:lineRule="exact"/>
        <w:ind w:firstLine="640" w:firstLineChars="200"/>
        <w:jc w:val="both"/>
        <w:textAlignment w:val="baseline"/>
        <w:rPr>
          <w:rFonts w:hint="eastAsia" w:ascii="仿宋_GB2312" w:hAnsi="Calibri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商城社区要积极组建反诈宣传志愿者团队，围绕“警惕诈骗新手法，不做电诈工具人”主题制定“五进”专项宣传策略，组织志愿者 常态开展“五进”专项活动，积极推广莆田反诈骗微信公众号、国家反诈中心官方APP 和五大国家反诈中心政务号。“进企业”要针对企业、商户宣传禁止出售、出租、出借对 公账户，以及警惕成为洗钱“帮凶”;“进农村”“进社区”“进家 庭”要针对老年人、妇女、未成年人重点宣传禁止出售、出租、出借“两卡”,防止成为电诈“工具人”)。深入推进 “五进”宣传活动。发动社会力量积极参与宣传，加大社会面反诈宣传物料覆盖率，在宾馆、办事大厅等人员密集场所，投放反诈宣传物料，提高反诈宣传覆盖率，全力营造“全民反诈、全社会反诈”浓厚氛围。</w:t>
      </w:r>
    </w:p>
    <w:p w14:paraId="02FC3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工作步骤</w:t>
      </w:r>
    </w:p>
    <w:p w14:paraId="4221C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napToGrid/>
          <w:kern w:val="2"/>
          <w:sz w:val="32"/>
          <w:szCs w:val="32"/>
          <w:lang w:val="en-US" w:eastAsia="zh-CN"/>
        </w:rPr>
        <w:t>(一)动员部署阶段(7月1日起至7月7日)。</w:t>
      </w:r>
      <w:r>
        <w:rPr>
          <w:rFonts w:hint="eastAsia" w:ascii="仿宋_GB2312" w:hAnsi="Calibri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商城社区、机关各部门要认真领会省、市两级《打击治理电信网络诈骗犯罪“全民反 诈在行动”集中宣传月工作方案》精神，结合本地实际，细化方案，明确任务措施和工作重点，确保集中宣传月取得实效。</w:t>
      </w:r>
    </w:p>
    <w:p w14:paraId="66C10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napToGrid/>
          <w:color w:val="000000"/>
          <w:kern w:val="2"/>
          <w:sz w:val="32"/>
          <w:szCs w:val="32"/>
          <w:lang w:val="en-US" w:eastAsia="zh-CN" w:bidi="ar-SA"/>
        </w:rPr>
        <w:t>(二)具体实施阶段(7月8日至7月21日)。</w:t>
      </w:r>
      <w:r>
        <w:rPr>
          <w:rFonts w:hint="eastAsia" w:ascii="仿宋_GB2312" w:hAnsi="Calibri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商城社区、机关各部门要督促本级各成员单位落实宣传教育防范主体责任，利用本地本部门职能资源优势齐心协力做好宣传月工作，形成宣传合力。</w:t>
      </w:r>
    </w:p>
    <w:p w14:paraId="11AE63D6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53" w:line="560" w:lineRule="exact"/>
        <w:ind w:right="12" w:firstLine="640" w:firstLineChars="200"/>
        <w:jc w:val="both"/>
        <w:rPr>
          <w:rFonts w:hint="eastAsia" w:ascii="仿宋_GB2312" w:hAnsi="Calibri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napToGrid/>
          <w:color w:val="000000"/>
          <w:kern w:val="2"/>
          <w:sz w:val="32"/>
          <w:szCs w:val="32"/>
          <w:lang w:val="en-US" w:eastAsia="zh-CN" w:bidi="ar-SA"/>
        </w:rPr>
        <w:t>(三)总结评估阶段(7月22日至7月28日)。</w:t>
      </w:r>
      <w:r>
        <w:rPr>
          <w:rFonts w:hint="eastAsia" w:ascii="仿宋_GB2312" w:hAnsi="Calibri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各级各单 位商城社区、机关各部门对宣传月工作成效进行评估，总结、提炼好经验、好做法，形成长效机制。</w:t>
      </w:r>
    </w:p>
    <w:p w14:paraId="4E5EE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作要求</w:t>
      </w:r>
    </w:p>
    <w:p w14:paraId="718D55EC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50" w:line="560" w:lineRule="exact"/>
        <w:ind w:firstLine="640" w:firstLineChars="200"/>
        <w:jc w:val="both"/>
        <w:rPr>
          <w:rFonts w:ascii="楷体" w:hAnsi="楷体" w:eastAsia="楷体" w:cs="楷体"/>
          <w:spacing w:val="-7"/>
          <w:sz w:val="30"/>
          <w:szCs w:val="30"/>
        </w:rPr>
      </w:pPr>
      <w:r>
        <w:rPr>
          <w:rFonts w:hint="eastAsia" w:ascii="楷体" w:hAnsi="楷体" w:eastAsia="楷体" w:cs="楷体"/>
          <w:snapToGrid/>
          <w:color w:val="000000"/>
          <w:kern w:val="2"/>
          <w:sz w:val="32"/>
          <w:szCs w:val="32"/>
          <w:lang w:val="en-US" w:eastAsia="zh-CN" w:bidi="ar-SA"/>
        </w:rPr>
        <w:t>(一)高度重视，精心组织。</w:t>
      </w:r>
      <w:r>
        <w:rPr>
          <w:rFonts w:hint="eastAsia" w:ascii="仿宋_GB2312" w:hAnsi="Calibri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紧密依靠社区网格员和志愿者等群防群治力量，充分发动群众，紧紧依靠群众，努力营造全民反诈、全社会反诈的宣传格局。</w:t>
      </w:r>
    </w:p>
    <w:p w14:paraId="52C02C1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eastAsia" w:ascii="仿宋_GB2312" w:hAnsi="Calibri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napToGrid/>
          <w:color w:val="000000"/>
          <w:kern w:val="2"/>
          <w:sz w:val="32"/>
          <w:szCs w:val="32"/>
          <w:lang w:val="en-US" w:eastAsia="zh-CN" w:bidi="ar-SA"/>
        </w:rPr>
        <w:t>(二)明确责任，全面推动。</w:t>
      </w:r>
      <w:r>
        <w:rPr>
          <w:rFonts w:hint="eastAsia" w:ascii="仿宋_GB2312" w:hAnsi="Calibri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各级各单位要将防骗宣传贯穿本单位职能予以推进，按照本单位职工人数，自行印制《防范电信网络诈骗宣传手册》,确保人手一份，人人学习、人尽皆知,真正提升广大人民群众的防骗意识，取得实效.</w:t>
      </w:r>
    </w:p>
    <w:p w14:paraId="783CB0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三、程序</w:t>
      </w:r>
    </w:p>
    <w:p w14:paraId="1E1EE7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由党政办起草《方案》解读文件，下发至社区、机关各部门，再由各单位将政策解读文件通过宣传栏等形式对商户群众进行宣传。</w:t>
      </w:r>
    </w:p>
    <w:p w14:paraId="3C35DC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四、形式</w:t>
      </w:r>
    </w:p>
    <w:p w14:paraId="2EDB9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该政策解读文件采用张贴宣传栏的形式进行公开。</w:t>
      </w:r>
    </w:p>
    <w:p w14:paraId="21543E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AFBBE9"/>
    <w:multiLevelType w:val="singleLevel"/>
    <w:tmpl w:val="80AFBB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3F52DFC"/>
    <w:multiLevelType w:val="singleLevel"/>
    <w:tmpl w:val="93F52DFC"/>
    <w:lvl w:ilvl="0" w:tentative="0">
      <w:start w:val="1"/>
      <w:numFmt w:val="decimal"/>
      <w:suff w:val="nothing"/>
      <w:lvlText w:val="%1、"/>
      <w:lvlJc w:val="left"/>
      <w:pPr>
        <w:ind w:left="845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OTE3OTg0NTk3NWM1ZGI1YmU4MzFhODQ4Nzk3MzcifQ=="/>
  </w:docVars>
  <w:rsids>
    <w:rsidRoot w:val="42F00466"/>
    <w:rsid w:val="01AA7D1B"/>
    <w:rsid w:val="08FD2E27"/>
    <w:rsid w:val="25C64874"/>
    <w:rsid w:val="31E96171"/>
    <w:rsid w:val="42F00466"/>
    <w:rsid w:val="50923421"/>
    <w:rsid w:val="5C292E8C"/>
    <w:rsid w:val="65C9123C"/>
    <w:rsid w:val="674E7C4A"/>
    <w:rsid w:val="70735B54"/>
    <w:rsid w:val="73E1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47"/>
      <w:szCs w:val="47"/>
      <w:lang w:val="en-US" w:eastAsia="en-US" w:bidi="ar-SA"/>
    </w:rPr>
  </w:style>
  <w:style w:type="character" w:customStyle="1" w:styleId="5">
    <w:name w:val="NormalCharacter"/>
    <w:autoRedefine/>
    <w:semiHidden/>
    <w:qFormat/>
    <w:uiPriority w:val="0"/>
    <w:rPr>
      <w:rFonts w:ascii="Calibri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2024-10-10T02:52:00Z</dcterms:created>
  <dc:creator>C</dc:creator>
  <cp:lastModifiedBy>C</cp:lastModifiedBy>
  <dcterms:modified xsi:type="dcterms:W3CDTF">2024-10-10T03:25:05Z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586DEC3684C44E50A4941FF101EBE336_11</vt:lpwstr>
  </property>
</Properties>
</file>