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/>
        <w:jc w:val="both"/>
        <w:textAlignment w:val="auto"/>
        <w:rPr>
          <w:rFonts w:hint="eastAsia" w:ascii="黑体" w:hAnsi="黑体" w:eastAsia="黑体" w:cs="黑体"/>
          <w:spacing w:val="-14"/>
          <w:sz w:val="32"/>
          <w:szCs w:val="32"/>
        </w:rPr>
      </w:pPr>
      <w:r>
        <w:rPr>
          <w:rFonts w:hint="eastAsia" w:ascii="黑体" w:hAnsi="黑体" w:eastAsia="黑体" w:cs="黑体"/>
          <w:spacing w:val="-14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84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2"/>
          <w:szCs w:val="32"/>
        </w:rPr>
        <w:t>住宿人员10人及以上的生产、经营、租住村(居)民自建房重点整治的8类情形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一、使用易燃可燃夹芯彩钢板或易燃材料搭建临时房屋;屋顶、围护结构、房间隔墙使用易燃可燃夹芯彩钢板或易燃材料搭建。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二、用于生产、经营的场所，居住区域与生产、经营区域未完全防火分隔。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三、电动自行车、电动摩托车、电动平衡车及其蓄电池在室内公共区域、疏散走道、楼梯间、安全出口或房间内停放、充电;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室外集中停放、充电区域及其设置的雨棚与建筑外窗、安全出口直接相邻。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四、每层建筑面积超过200平方米的建筑、屋顶承重构件、楼板为可燃材料的建筑、建筑层数为四层及以上的建筑，疏散楼梯少于2部，首层安全出口少于2个。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五、外窗、疏散走道安装防盗网、广告牌、铁栅栏。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六、用于租住的建筑内设置采用易燃可燃保温材料或液氨制冷剂的冷库，生产、储存、经营易燃易爆危险品的自建房设置居住场所。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七、存在未安转漏电保护装置或空气开关、电器线路私搭乱接、过负荷使用等严重电器隐患。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八、耐火等级为三级以下(砖木结构或木楼梯、木楼板、木隔断)的建筑。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1EF5128-1B9D-481F-A19C-3A93B77138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F22617-808D-473C-9E9C-F62C62C2A7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71D4BEA-4E9D-40F0-B5D0-5D5773E6B3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right="387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hint="eastAsia" w:ascii="仿宋" w:hAnsi="仿宋" w:eastAsia="仿宋" w:cs="仿宋"/>
        <w:spacing w:val="-4"/>
        <w:sz w:val="28"/>
        <w:szCs w:val="28"/>
        <w:lang w:val="en-US" w:eastAsia="zh-CN"/>
      </w:rPr>
      <w:t>1</w:t>
    </w:r>
    <w:r>
      <w:rPr>
        <w:rFonts w:ascii="仿宋" w:hAnsi="仿宋" w:eastAsia="仿宋" w:cs="仿宋"/>
        <w:spacing w:val="-2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N2M1OGM3MWUzOTkxMGNlMGQzODYxMjE5YWVlYjEifQ=="/>
  </w:docVars>
  <w:rsids>
    <w:rsidRoot w:val="1D4347E2"/>
    <w:rsid w:val="1D43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2022-09-22T08:00:00Z</dcterms:created>
  <dc:creator>黎妹妹</dc:creator>
  <cp:lastModifiedBy>黎妹妹</cp:lastModifiedBy>
  <dcterms:modified xsi:type="dcterms:W3CDTF">2022-09-22T08:00:57Z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223C38B22B2A4A40B8C785CDE6E7713A</vt:lpwstr>
  </property>
</Properties>
</file>