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AE79D5">
      <w:pPr>
        <w:pStyle w:val="63"/>
        <w:framePr w:w="9639" w:h="624" w:hRule="exact" w:hSpace="181" w:vSpace="181" w:vAnchor="text" w:hAnchor="page" w:x="1151" w:y="2833"/>
        <w:rPr>
          <w:color w:val="auto"/>
        </w:rPr>
      </w:pPr>
      <w:bookmarkStart w:id="0" w:name="_Hlk26473981"/>
      <w:bookmarkStart w:id="1" w:name="BookMark1"/>
      <w:bookmarkStart w:id="1683" w:name="_GoBack"/>
      <w:bookmarkEnd w:id="1683"/>
      <w:r>
        <w:rPr>
          <w:rFonts w:hint="eastAsia"/>
          <w:color w:val="auto"/>
        </w:rPr>
        <w:t>中华人民共和国国家标准</w:t>
      </w:r>
    </w:p>
    <w:bookmarkEnd w:id="0"/>
    <w:p w14:paraId="2B29A880">
      <w:pPr>
        <w:pStyle w:val="29"/>
        <w:keepNext w:val="0"/>
        <w:keepLines w:val="0"/>
        <w:framePr w:w="9356" w:h="624" w:hRule="exact" w:hSpace="181" w:vSpace="181" w:wrap="around" w:vAnchor="page" w:hAnchor="page" w:x="1344" w:y="4219"/>
        <w:widowControl/>
        <w:suppressLineNumbers w:val="0"/>
        <w:wordWrap w:val="0"/>
        <w:autoSpaceDE w:val="0"/>
        <w:autoSpaceDN w:val="0"/>
        <w:adjustRightInd/>
        <w:spacing w:before="0" w:beforeAutospacing="0" w:after="0" w:afterAutospacing="0" w:line="280" w:lineRule="exact"/>
        <w:ind w:left="0" w:right="0"/>
        <w:jc w:val="right"/>
        <w:rPr>
          <w:lang w:val="fr"/>
        </w:rPr>
      </w:pPr>
      <w:r>
        <w:rPr>
          <w:rFonts w:hint="eastAsia" w:ascii="黑体" w:hAnsi="Times New Roman" w:eastAsia="黑体" w:cs="Times New Roman"/>
          <w:bCs/>
          <w:kern w:val="0"/>
          <w:sz w:val="28"/>
          <w:szCs w:val="28"/>
          <w:lang w:val="en-US" w:eastAsia="zh-CN" w:bidi="ar"/>
        </w:rPr>
        <w:fldChar w:fldCharType="begin">
          <w:ffData>
            <w:name w:val="文字1"/>
            <w:enabled/>
            <w:calcOnExit w:val="0"/>
            <w:textInput>
              <w:default w:val="GB/T"/>
            </w:textInput>
          </w:ffData>
        </w:fldChar>
      </w:r>
      <w:r>
        <w:rPr>
          <w:rFonts w:hint="eastAsia" w:ascii="黑体" w:hAnsi="Times New Roman" w:eastAsia="黑体" w:cs="Times New Roman"/>
          <w:bCs/>
          <w:kern w:val="0"/>
          <w:sz w:val="28"/>
          <w:szCs w:val="28"/>
          <w:lang w:val="fr" w:eastAsia="zh-CN" w:bidi="ar"/>
        </w:rPr>
        <w:instrText xml:space="preserve"> FORMTEXT </w:instrText>
      </w:r>
      <w:r>
        <w:rPr>
          <w:rFonts w:hint="eastAsia" w:ascii="黑体" w:hAnsi="Times New Roman" w:eastAsia="黑体" w:cs="Times New Roman"/>
          <w:bCs/>
          <w:kern w:val="0"/>
          <w:sz w:val="28"/>
          <w:szCs w:val="28"/>
          <w:lang w:val="en-US" w:eastAsia="zh-CN" w:bidi="ar"/>
        </w:rPr>
        <w:fldChar w:fldCharType="separate"/>
      </w:r>
      <w:r>
        <w:rPr>
          <w:rFonts w:hint="eastAsia" w:ascii="黑体" w:hAnsi="Times New Roman" w:eastAsia="黑体" w:cs="Times New Roman"/>
          <w:bCs/>
          <w:kern w:val="0"/>
          <w:sz w:val="28"/>
          <w:szCs w:val="28"/>
          <w:lang w:val="fr" w:eastAsia="zh-CN" w:bidi="ar"/>
        </w:rPr>
        <w:t>GB</w:t>
      </w:r>
      <w:r>
        <w:rPr>
          <w:rFonts w:hint="eastAsia" w:ascii="黑体" w:hAnsi="Times New Roman" w:eastAsia="黑体" w:cs="Times New Roman"/>
          <w:bCs/>
          <w:kern w:val="0"/>
          <w:sz w:val="28"/>
          <w:szCs w:val="28"/>
          <w:lang w:val="en-US" w:eastAsia="zh-CN" w:bidi="ar"/>
        </w:rPr>
        <w:fldChar w:fldCharType="end"/>
      </w:r>
      <w:r>
        <w:rPr>
          <w:rFonts w:hint="eastAsia" w:ascii="黑体" w:hAnsi="Times New Roman" w:eastAsia="黑体" w:cs="Times New Roman"/>
          <w:bCs/>
          <w:kern w:val="0"/>
          <w:sz w:val="28"/>
          <w:szCs w:val="28"/>
          <w:lang w:val="en-US" w:eastAsia="zh-CN" w:bidi="ar"/>
        </w:rPr>
        <w:t xml:space="preserve"> </w:t>
      </w:r>
      <w:r>
        <w:rPr>
          <w:rFonts w:hint="eastAsia" w:ascii="黑体" w:hAnsi="Times New Roman" w:eastAsia="黑体" w:cs="Times New Roman"/>
          <w:bCs/>
          <w:kern w:val="0"/>
          <w:sz w:val="28"/>
          <w:szCs w:val="28"/>
          <w:lang w:val="en-US" w:eastAsia="zh-CN" w:bidi="ar"/>
        </w:rPr>
        <w:fldChar w:fldCharType="begin">
          <w:ffData>
            <w:name w:val="NSTD_CODE_F"/>
            <w:enabled/>
            <w:calcOnExit w:val="0"/>
            <w:textInput>
              <w:default w:val="XXXXX"/>
            </w:textInput>
          </w:ffData>
        </w:fldChar>
      </w:r>
      <w:r>
        <w:rPr>
          <w:rFonts w:hint="eastAsia" w:ascii="黑体" w:hAnsi="Times New Roman" w:eastAsia="黑体" w:cs="Times New Roman"/>
          <w:bCs/>
          <w:kern w:val="0"/>
          <w:sz w:val="28"/>
          <w:szCs w:val="28"/>
          <w:lang w:val="fr" w:eastAsia="zh-CN" w:bidi="ar"/>
        </w:rPr>
        <w:instrText xml:space="preserve"> FORMTEXT </w:instrText>
      </w:r>
      <w:r>
        <w:rPr>
          <w:rFonts w:hint="eastAsia" w:ascii="黑体" w:hAnsi="Times New Roman" w:eastAsia="黑体" w:cs="Times New Roman"/>
          <w:bCs/>
          <w:kern w:val="0"/>
          <w:sz w:val="28"/>
          <w:szCs w:val="28"/>
          <w:lang w:val="en-US" w:eastAsia="zh-CN" w:bidi="ar"/>
        </w:rPr>
        <w:fldChar w:fldCharType="separate"/>
      </w:r>
      <w:r>
        <w:rPr>
          <w:rFonts w:hint="eastAsia" w:ascii="黑体" w:hAnsi="Times New Roman" w:eastAsia="黑体" w:cs="Times New Roman"/>
          <w:bCs/>
          <w:kern w:val="0"/>
          <w:sz w:val="28"/>
          <w:szCs w:val="28"/>
          <w:lang w:val="fr" w:eastAsia="zh-CN" w:bidi="ar"/>
        </w:rPr>
        <w:t>XXXXX</w:t>
      </w:r>
      <w:r>
        <w:rPr>
          <w:rFonts w:hint="eastAsia" w:ascii="黑体" w:hAnsi="Times New Roman" w:eastAsia="黑体" w:cs="Times New Roman"/>
          <w:bCs/>
          <w:kern w:val="0"/>
          <w:sz w:val="28"/>
          <w:szCs w:val="28"/>
          <w:lang w:val="en-US" w:eastAsia="zh-CN" w:bidi="ar"/>
        </w:rPr>
        <w:fldChar w:fldCharType="end"/>
      </w:r>
      <w:r>
        <w:rPr>
          <w:rFonts w:hint="eastAsia" w:ascii="黑体" w:hAnsi="宋体" w:eastAsia="黑体" w:cs="Times New Roman"/>
          <w:bCs/>
          <w:kern w:val="0"/>
          <w:sz w:val="28"/>
          <w:szCs w:val="28"/>
          <w:lang w:val="en-US" w:eastAsia="zh-CN" w:bidi="ar"/>
        </w:rPr>
        <w:t>—</w:t>
      </w:r>
      <w:r>
        <w:rPr>
          <w:rFonts w:hint="eastAsia" w:ascii="黑体" w:hAnsi="Times New Roman" w:eastAsia="黑体" w:cs="Times New Roman"/>
          <w:bCs/>
          <w:kern w:val="0"/>
          <w:sz w:val="28"/>
          <w:szCs w:val="28"/>
          <w:lang w:val="en-US" w:eastAsia="zh-CN" w:bidi="ar"/>
        </w:rPr>
        <w:fldChar w:fldCharType="begin">
          <w:ffData>
            <w:name w:val="NSTD_CODE_B"/>
            <w:enabled/>
            <w:calcOnExit w:val="0"/>
            <w:textInput>
              <w:default w:val="XXXX"/>
            </w:textInput>
          </w:ffData>
        </w:fldChar>
      </w:r>
      <w:r>
        <w:rPr>
          <w:rFonts w:hint="eastAsia" w:ascii="黑体" w:hAnsi="Times New Roman" w:eastAsia="黑体" w:cs="Times New Roman"/>
          <w:bCs/>
          <w:kern w:val="0"/>
          <w:sz w:val="28"/>
          <w:szCs w:val="28"/>
          <w:lang w:val="fr" w:eastAsia="zh-CN" w:bidi="ar"/>
        </w:rPr>
        <w:instrText xml:space="preserve"> FORMTEXT </w:instrText>
      </w:r>
      <w:r>
        <w:rPr>
          <w:rFonts w:hint="eastAsia" w:ascii="黑体" w:hAnsi="Times New Roman" w:eastAsia="黑体" w:cs="Times New Roman"/>
          <w:bCs/>
          <w:kern w:val="0"/>
          <w:sz w:val="28"/>
          <w:szCs w:val="28"/>
          <w:lang w:val="en-US" w:eastAsia="zh-CN" w:bidi="ar"/>
        </w:rPr>
        <w:fldChar w:fldCharType="separate"/>
      </w:r>
      <w:r>
        <w:rPr>
          <w:rFonts w:hint="eastAsia" w:ascii="黑体" w:hAnsi="Times New Roman" w:eastAsia="黑体" w:cs="Times New Roman"/>
          <w:bCs/>
          <w:kern w:val="0"/>
          <w:sz w:val="28"/>
          <w:szCs w:val="28"/>
          <w:lang w:val="fr" w:eastAsia="zh-CN" w:bidi="ar"/>
        </w:rPr>
        <w:t>XXXX</w:t>
      </w:r>
      <w:r>
        <w:rPr>
          <w:rFonts w:hint="eastAsia" w:ascii="黑体" w:hAnsi="Times New Roman" w:eastAsia="黑体" w:cs="Times New Roman"/>
          <w:bCs/>
          <w:kern w:val="0"/>
          <w:sz w:val="28"/>
          <w:szCs w:val="28"/>
          <w:lang w:val="en-US" w:eastAsia="zh-CN" w:bidi="ar"/>
        </w:rPr>
        <w:fldChar w:fldCharType="end"/>
      </w:r>
    </w:p>
    <w:p w14:paraId="47D59F0E">
      <w:pPr>
        <w:pStyle w:val="29"/>
        <w:keepNext w:val="0"/>
        <w:keepLines w:val="0"/>
        <w:framePr w:w="9356" w:h="624" w:hRule="exact" w:hSpace="181" w:vSpace="181" w:wrap="around" w:vAnchor="page" w:hAnchor="page" w:x="1344" w:y="4219"/>
        <w:widowControl/>
        <w:suppressLineNumbers w:val="0"/>
        <w:wordWrap w:val="0"/>
        <w:autoSpaceDE w:val="0"/>
        <w:autoSpaceDN w:val="0"/>
        <w:spacing w:before="57" w:beforeAutospacing="0" w:after="0" w:afterAutospacing="0" w:line="280" w:lineRule="exact"/>
        <w:ind w:left="0" w:right="0"/>
        <w:jc w:val="right"/>
        <w:rPr>
          <w:rFonts w:hAnsi="宋体"/>
          <w:lang w:val="en-US"/>
        </w:rPr>
      </w:pPr>
      <w:r>
        <w:drawing>
          <wp:inline distT="0" distB="0" distL="114300" distR="114300">
            <wp:extent cx="5936615" cy="11430"/>
            <wp:effectExtent l="0" t="0" r="0" b="0"/>
            <wp:docPr id="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0"/>
                    <pic:cNvPicPr>
                      <a:picLocks noChangeAspect="1"/>
                    </pic:cNvPicPr>
                  </pic:nvPicPr>
                  <pic:blipFill>
                    <a:blip r:embed="rId18"/>
                    <a:stretch>
                      <a:fillRect/>
                    </a:stretch>
                  </pic:blipFill>
                  <pic:spPr>
                    <a:xfrm>
                      <a:off x="0" y="0"/>
                      <a:ext cx="5936615" cy="11430"/>
                    </a:xfrm>
                    <a:prstGeom prst="rect">
                      <a:avLst/>
                    </a:prstGeom>
                    <a:noFill/>
                    <a:ln>
                      <a:noFill/>
                    </a:ln>
                  </pic:spPr>
                </pic:pic>
              </a:graphicData>
            </a:graphic>
          </wp:inline>
        </w:drawing>
      </w:r>
      <w:r>
        <w:rPr>
          <w:rFonts w:hint="eastAsia" w:ascii="黑体" w:hAnsi="宋体" w:eastAsia="黑体" w:cs="Times New Roman"/>
          <w:bCs/>
          <w:kern w:val="0"/>
          <w:sz w:val="21"/>
          <w:szCs w:val="28"/>
          <w:lang w:val="en-US" w:eastAsia="zh-CN" w:bidi="ar"/>
        </w:rPr>
        <w:fldChar w:fldCharType="begin">
          <w:ffData>
            <w:name w:val="OSTD_CODE"/>
            <w:enabled/>
            <w:calcOnExit w:val="0"/>
            <w:textInput/>
          </w:ffData>
        </w:fldChar>
      </w:r>
      <w:r>
        <w:rPr>
          <w:rFonts w:hint="eastAsia" w:ascii="黑体" w:hAnsi="宋体" w:eastAsia="黑体" w:cs="Times New Roman"/>
          <w:bCs/>
          <w:kern w:val="0"/>
          <w:sz w:val="21"/>
          <w:szCs w:val="28"/>
          <w:lang w:val="en-US" w:eastAsia="zh-CN" w:bidi="ar"/>
        </w:rPr>
        <w:instrText xml:space="preserve"> FORMTEXT </w:instrText>
      </w:r>
      <w:r>
        <w:rPr>
          <w:rFonts w:hint="eastAsia" w:ascii="黑体" w:hAnsi="宋体" w:eastAsia="黑体" w:cs="Times New Roman"/>
          <w:bCs/>
          <w:kern w:val="0"/>
          <w:sz w:val="21"/>
          <w:szCs w:val="28"/>
          <w:lang w:val="en-US" w:eastAsia="zh-CN" w:bidi="ar"/>
        </w:rPr>
        <w:fldChar w:fldCharType="separate"/>
      </w:r>
      <w:r>
        <w:rPr>
          <w:rFonts w:hint="eastAsia" w:ascii="黑体" w:hAnsi="宋体" w:eastAsia="黑体" w:cs="Times New Roman"/>
          <w:bCs/>
          <w:kern w:val="0"/>
          <w:sz w:val="21"/>
          <w:szCs w:val="28"/>
          <w:lang w:val="en-US" w:eastAsia="zh-CN" w:bidi="ar"/>
        </w:rPr>
        <w:t>     </w:t>
      </w:r>
      <w:r>
        <w:rPr>
          <w:rFonts w:hint="eastAsia" w:ascii="黑体" w:hAnsi="Times New Roman" w:eastAsia="黑体" w:cs="Times New Roman"/>
          <w:bCs/>
          <w:kern w:val="0"/>
          <w:sz w:val="21"/>
          <w:szCs w:val="28"/>
          <w:lang w:val="en-US" w:eastAsia="zh-CN" w:bidi="ar"/>
        </w:rPr>
        <w:fldChar w:fldCharType="end"/>
      </w:r>
    </w:p>
    <w:p w14:paraId="12957925">
      <w:pPr>
        <w:pStyle w:val="29"/>
        <w:keepNext w:val="0"/>
        <w:keepLines w:val="0"/>
        <w:framePr w:w="9645" w:h="6974" w:hRule="exact" w:wrap="around" w:vAnchor="page" w:hAnchor="page" w:x="1198" w:y="5718"/>
        <w:widowControl/>
        <w:suppressLineNumbers w:val="0"/>
        <w:adjustRightInd/>
        <w:spacing w:before="0" w:beforeAutospacing="0" w:after="0" w:afterAutospacing="0" w:line="700" w:lineRule="exact"/>
        <w:ind w:left="0" w:right="0"/>
        <w:jc w:val="center"/>
        <w:rPr>
          <w:lang w:val="en-US"/>
        </w:rPr>
      </w:pPr>
      <w:r>
        <w:rPr>
          <w:rFonts w:hint="eastAsia" w:ascii="黑体" w:hAnsi="宋体" w:eastAsia="黑体" w:cs="Times New Roman"/>
          <w:bCs/>
          <w:kern w:val="0"/>
          <w:sz w:val="52"/>
          <w:szCs w:val="20"/>
          <w:lang w:val="en-US" w:eastAsia="zh-CN" w:bidi="ar"/>
        </w:rPr>
        <w:fldChar w:fldCharType="begin">
          <w:ffData>
            <w:name w:val="CSTD_NAME"/>
            <w:enabled/>
            <w:calcOnExit w:val="0"/>
            <w:textInput>
              <w:default w:val="点击此处添加标准名称"/>
            </w:textInput>
          </w:ffData>
        </w:fldChar>
      </w:r>
      <w:bookmarkStart w:id="2" w:name="CSTD_NAME"/>
      <w:r>
        <w:rPr>
          <w:rFonts w:hint="eastAsia" w:ascii="黑体" w:hAnsi="宋体" w:eastAsia="黑体" w:cs="Times New Roman"/>
          <w:bCs/>
          <w:kern w:val="0"/>
          <w:sz w:val="52"/>
          <w:szCs w:val="20"/>
          <w:lang w:val="en-US" w:eastAsia="zh-CN" w:bidi="ar"/>
        </w:rPr>
        <w:instrText xml:space="preserve"> FORMTEXT </w:instrText>
      </w:r>
      <w:r>
        <w:rPr>
          <w:rFonts w:hint="eastAsia" w:ascii="黑体" w:hAnsi="宋体" w:eastAsia="黑体" w:cs="Times New Roman"/>
          <w:bCs/>
          <w:kern w:val="0"/>
          <w:sz w:val="52"/>
          <w:szCs w:val="20"/>
          <w:lang w:val="en-US" w:eastAsia="zh-CN" w:bidi="ar"/>
        </w:rPr>
        <w:fldChar w:fldCharType="separate"/>
      </w:r>
      <w:r>
        <w:rPr>
          <w:rFonts w:hint="eastAsia" w:ascii="黑体" w:hAnsi="宋体" w:eastAsia="黑体" w:cs="Times New Roman"/>
          <w:bCs/>
          <w:kern w:val="0"/>
          <w:sz w:val="52"/>
          <w:szCs w:val="20"/>
          <w:lang w:val="en-US" w:eastAsia="zh-CN" w:bidi="ar"/>
        </w:rPr>
        <w:t>危险化学品企业安全生产标准化通用规范</w:t>
      </w:r>
      <w:r>
        <w:rPr>
          <w:rFonts w:hint="eastAsia" w:ascii="黑体" w:hAnsi="宋体" w:eastAsia="黑体" w:cs="Times New Roman"/>
          <w:bCs/>
          <w:kern w:val="0"/>
          <w:sz w:val="52"/>
          <w:szCs w:val="20"/>
          <w:lang w:val="en-US" w:eastAsia="zh-CN" w:bidi="ar"/>
        </w:rPr>
        <w:fldChar w:fldCharType="end"/>
      </w:r>
      <w:bookmarkEnd w:id="2"/>
    </w:p>
    <w:p w14:paraId="4D82AD2A">
      <w:pPr>
        <w:keepNext w:val="0"/>
        <w:keepLines w:val="0"/>
        <w:framePr w:w="9645" w:h="6974" w:hRule="exact" w:wrap="around" w:vAnchor="page" w:hAnchor="page" w:x="1198" w:y="5718"/>
        <w:widowControl w:val="0"/>
        <w:suppressLineNumbers w:val="0"/>
        <w:adjustRightInd w:val="0"/>
        <w:spacing w:before="0" w:beforeAutospacing="0" w:after="0" w:afterAutospacing="0" w:line="400" w:lineRule="exact"/>
        <w:ind w:left="-1418" w:right="0"/>
        <w:jc w:val="both"/>
        <w:rPr>
          <w:lang w:val="en-US"/>
        </w:rPr>
      </w:pPr>
    </w:p>
    <w:p w14:paraId="3FBE384D">
      <w:pPr>
        <w:pStyle w:val="29"/>
        <w:keepNext w:val="0"/>
        <w:keepLines w:val="0"/>
        <w:framePr w:w="9645" w:h="6974" w:hRule="exact" w:wrap="around" w:vAnchor="page" w:hAnchor="page" w:x="1198" w:y="5718"/>
        <w:widowControl/>
        <w:suppressLineNumbers w:val="0"/>
        <w:adjustRightInd/>
        <w:spacing w:before="0" w:beforeAutospacing="0" w:after="0" w:afterAutospacing="0" w:line="360" w:lineRule="exact"/>
        <w:ind w:left="0" w:right="0"/>
        <w:jc w:val="center"/>
        <w:textAlignment w:val="bottom"/>
        <w:rPr>
          <w:rFonts w:eastAsia="黑体"/>
          <w:szCs w:val="28"/>
          <w:lang w:val="en-US"/>
        </w:rPr>
      </w:pPr>
      <w:r>
        <w:rPr>
          <w:rFonts w:hint="default" w:ascii="Times New Roman" w:hAnsi="Times New Roman" w:eastAsia="黑体" w:cs="Times New Roman"/>
          <w:kern w:val="0"/>
          <w:sz w:val="28"/>
          <w:szCs w:val="28"/>
          <w:lang w:val="en-US" w:eastAsia="zh-CN" w:bidi="ar"/>
        </w:rPr>
        <w:fldChar w:fldCharType="begin">
          <w:ffData>
            <w:name w:val="ESTD_NAME"/>
            <w:enabled/>
            <w:calcOnExit w:val="0"/>
            <w:textInput>
              <w:default w:val="点击此处添加标准名称的英文译名"/>
            </w:textInput>
          </w:ffData>
        </w:fldChar>
      </w:r>
      <w:r>
        <w:rPr>
          <w:rFonts w:hint="default" w:ascii="Times New Roman" w:hAnsi="Times New Roman" w:eastAsia="黑体" w:cs="Times New Roman"/>
          <w:kern w:val="0"/>
          <w:sz w:val="28"/>
          <w:szCs w:val="28"/>
          <w:lang w:val="en-US" w:eastAsia="zh-CN" w:bidi="ar"/>
        </w:rPr>
        <w:instrText xml:space="preserve"> FORMTEXT </w:instrText>
      </w:r>
      <w:r>
        <w:rPr>
          <w:rFonts w:hint="default" w:ascii="Times New Roman" w:hAnsi="Times New Roman" w:eastAsia="黑体" w:cs="Times New Roman"/>
          <w:kern w:val="0"/>
          <w:sz w:val="28"/>
          <w:szCs w:val="28"/>
          <w:lang w:val="en-US" w:eastAsia="zh-CN" w:bidi="ar"/>
        </w:rPr>
        <w:fldChar w:fldCharType="separate"/>
      </w:r>
      <w:r>
        <w:rPr>
          <w:rFonts w:hint="default" w:ascii="Times New Roman" w:hAnsi="Times New Roman" w:eastAsia="黑体" w:cs="Times New Roman"/>
          <w:kern w:val="0"/>
          <w:sz w:val="28"/>
          <w:szCs w:val="28"/>
          <w:lang w:val="en-US" w:eastAsia="zh-CN" w:bidi="ar"/>
        </w:rPr>
        <w:t>General norms for work safety standardization of hazardous chemical enterprises</w:t>
      </w:r>
      <w:r>
        <w:rPr>
          <w:rFonts w:hint="default" w:ascii="Times New Roman" w:hAnsi="Times New Roman" w:eastAsia="黑体" w:cs="Times New Roman"/>
          <w:kern w:val="0"/>
          <w:sz w:val="28"/>
          <w:szCs w:val="28"/>
          <w:lang w:val="en-US" w:eastAsia="zh-CN" w:bidi="ar"/>
        </w:rPr>
        <w:fldChar w:fldCharType="end"/>
      </w:r>
    </w:p>
    <w:p w14:paraId="044D3F7D">
      <w:pPr>
        <w:keepNext w:val="0"/>
        <w:keepLines w:val="0"/>
        <w:framePr w:w="9645" w:h="6974" w:hRule="exact" w:wrap="around" w:vAnchor="page" w:hAnchor="page" w:x="1198" w:y="5718"/>
        <w:widowControl w:val="0"/>
        <w:suppressLineNumbers w:val="0"/>
        <w:tabs>
          <w:tab w:val="left" w:pos="4893"/>
        </w:tabs>
        <w:adjustRightInd w:val="0"/>
        <w:spacing w:before="0" w:beforeAutospacing="0" w:after="0" w:afterAutospacing="0" w:line="760" w:lineRule="exact"/>
        <w:ind w:left="-1418" w:right="0"/>
        <w:jc w:val="center"/>
        <w:rPr>
          <w:sz w:val="28"/>
          <w:szCs w:val="28"/>
          <w:lang w:val="en-US"/>
        </w:rPr>
      </w:pPr>
      <w:r>
        <w:rPr>
          <w:rFonts w:hint="default" w:ascii="Calibri" w:hAnsi="Calibri" w:eastAsia="宋体" w:cs="Times New Roman"/>
          <w:kern w:val="2"/>
          <w:sz w:val="28"/>
          <w:szCs w:val="28"/>
          <w:lang w:val="en-US" w:eastAsia="zh-CN" w:bidi="ar"/>
        </w:rPr>
        <w:t xml:space="preserve">          </w:t>
      </w:r>
      <w:r>
        <w:rPr>
          <w:rFonts w:hint="eastAsia" w:ascii="Calibri" w:hAnsi="Calibri" w:eastAsia="宋体" w:cs="宋体"/>
          <w:kern w:val="2"/>
          <w:sz w:val="28"/>
          <w:szCs w:val="28"/>
          <w:lang w:val="en-US" w:eastAsia="zh-CN" w:bidi="ar"/>
        </w:rPr>
        <w:t>（征求意见稿）</w:t>
      </w:r>
    </w:p>
    <w:p w14:paraId="0FA10F33">
      <w:pPr>
        <w:keepNext w:val="0"/>
        <w:keepLines w:val="0"/>
        <w:framePr w:w="9645" w:h="6974" w:hRule="exact" w:wrap="around" w:vAnchor="page" w:hAnchor="page" w:x="1198" w:y="5718"/>
        <w:widowControl w:val="0"/>
        <w:suppressLineNumbers w:val="0"/>
        <w:adjustRightInd w:val="0"/>
        <w:spacing w:before="0" w:beforeAutospacing="0" w:after="0" w:afterAutospacing="0" w:line="400" w:lineRule="exact"/>
        <w:ind w:left="-1418" w:right="0"/>
        <w:jc w:val="both"/>
        <w:rPr>
          <w:lang w:val="en-US"/>
        </w:rPr>
      </w:pPr>
    </w:p>
    <w:p w14:paraId="2DFBCA4C">
      <w:pPr>
        <w:pStyle w:val="29"/>
        <w:keepNext w:val="0"/>
        <w:keepLines w:val="0"/>
        <w:framePr w:w="9645" w:h="6974" w:hRule="exact" w:wrap="around" w:vAnchor="page" w:hAnchor="page" w:x="1198" w:y="5718"/>
        <w:widowControl/>
        <w:suppressLineNumbers w:val="0"/>
        <w:adjustRightInd/>
        <w:spacing w:before="0" w:beforeAutospacing="0" w:after="0" w:afterAutospacing="0" w:line="360" w:lineRule="exact"/>
        <w:ind w:left="0" w:right="0"/>
        <w:jc w:val="center"/>
        <w:textAlignment w:val="bottom"/>
        <w:rPr>
          <w:rFonts w:eastAsia="黑体"/>
          <w:szCs w:val="28"/>
          <w:lang w:val="en-US"/>
        </w:rPr>
      </w:pPr>
    </w:p>
    <w:p w14:paraId="4C6BA79C">
      <w:pPr>
        <w:pStyle w:val="29"/>
        <w:keepNext w:val="0"/>
        <w:keepLines w:val="0"/>
        <w:framePr w:w="9645" w:h="6974" w:hRule="exact" w:wrap="around" w:vAnchor="page" w:hAnchor="page" w:x="1198" w:y="5718"/>
        <w:widowControl/>
        <w:suppressLineNumbers w:val="0"/>
        <w:adjustRightInd/>
        <w:spacing w:before="0" w:beforeAutospacing="0" w:after="0" w:afterAutospacing="0" w:line="360" w:lineRule="exact"/>
        <w:ind w:left="0" w:right="0"/>
        <w:jc w:val="center"/>
        <w:textAlignment w:val="bottom"/>
        <w:rPr>
          <w:rFonts w:eastAsia="黑体"/>
          <w:szCs w:val="28"/>
          <w:lang w:val="en-US"/>
        </w:rPr>
      </w:pPr>
    </w:p>
    <w:p w14:paraId="72AB167A">
      <w:pPr>
        <w:pStyle w:val="29"/>
        <w:keepNext w:val="0"/>
        <w:keepLines w:val="0"/>
        <w:framePr w:w="9645" w:h="6974" w:hRule="exact" w:wrap="around" w:vAnchor="page" w:hAnchor="page" w:x="1198" w:y="5718"/>
        <w:widowControl/>
        <w:suppressLineNumbers w:val="0"/>
        <w:adjustRightInd/>
        <w:spacing w:before="0" w:beforeAutospacing="0" w:after="0" w:afterAutospacing="0" w:line="240" w:lineRule="auto"/>
        <w:ind w:left="0" w:right="0"/>
        <w:jc w:val="right"/>
        <w:rPr>
          <w:lang w:val="en-US"/>
        </w:rPr>
      </w:pPr>
    </w:p>
    <w:p w14:paraId="6C58D4D6">
      <w:pPr>
        <w:pStyle w:val="29"/>
        <w:keepNext w:val="0"/>
        <w:keepLines w:val="0"/>
        <w:framePr w:w="9645" w:h="6974" w:hRule="exact" w:wrap="around" w:vAnchor="page" w:hAnchor="page" w:x="1198" w:y="5718"/>
        <w:widowControl/>
        <w:suppressLineNumbers w:val="0"/>
        <w:adjustRightInd/>
        <w:spacing w:before="720" w:beforeLines="300" w:beforeAutospacing="0" w:after="72" w:afterLines="30" w:afterAutospacing="0" w:line="240" w:lineRule="auto"/>
        <w:ind w:left="0" w:right="0"/>
        <w:jc w:val="center"/>
        <w:textAlignment w:val="bottom"/>
        <w:rPr>
          <w:b/>
          <w:bCs w:val="0"/>
          <w:sz w:val="21"/>
          <w:szCs w:val="28"/>
          <w:lang w:val="en-US"/>
        </w:rPr>
      </w:pPr>
      <w:r>
        <w:drawing>
          <wp:anchor distT="0" distB="0" distL="114300" distR="114300" simplePos="0" relativeHeight="251661312" behindDoc="0" locked="0" layoutInCell="1" allowOverlap="1">
            <wp:simplePos x="0" y="0"/>
            <wp:positionH relativeFrom="column">
              <wp:posOffset>1644015</wp:posOffset>
            </wp:positionH>
            <wp:positionV relativeFrom="paragraph">
              <wp:posOffset>2001520</wp:posOffset>
            </wp:positionV>
            <wp:extent cx="2871470" cy="548640"/>
            <wp:effectExtent l="0" t="0" r="5080" b="3810"/>
            <wp:wrapNone/>
            <wp:docPr id="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pic:cNvPicPr>
                      <a:picLocks noChangeAspect="1"/>
                    </pic:cNvPicPr>
                  </pic:nvPicPr>
                  <pic:blipFill>
                    <a:blip r:embed="rId19"/>
                    <a:stretch>
                      <a:fillRect/>
                    </a:stretch>
                  </pic:blipFill>
                  <pic:spPr>
                    <a:xfrm>
                      <a:off x="0" y="0"/>
                      <a:ext cx="2871470" cy="548640"/>
                    </a:xfrm>
                    <a:prstGeom prst="rect">
                      <a:avLst/>
                    </a:prstGeom>
                    <a:noFill/>
                    <a:ln>
                      <a:noFill/>
                    </a:ln>
                  </pic:spPr>
                </pic:pic>
              </a:graphicData>
            </a:graphic>
          </wp:anchor>
        </w:drawing>
      </w:r>
    </w:p>
    <w:p w14:paraId="2E2AB729">
      <w:pPr>
        <w:pStyle w:val="29"/>
        <w:keepNext w:val="0"/>
        <w:keepLines w:val="0"/>
        <w:framePr w:w="9460" w:h="471" w:hRule="exact" w:vSpace="181" w:wrap="around" w:vAnchor="page" w:hAnchor="page" w:x="1382" w:y="12491"/>
        <w:widowControl/>
        <w:suppressLineNumbers w:val="0"/>
        <w:adjustRightInd/>
        <w:spacing w:before="0" w:beforeAutospacing="0" w:after="0" w:afterAutospacing="0" w:line="240" w:lineRule="auto"/>
        <w:ind w:left="0" w:right="0"/>
        <w:jc w:val="left"/>
        <w:rPr>
          <w:rFonts w:hint="default"/>
          <w:lang w:val="en-US"/>
        </w:rPr>
      </w:pPr>
      <w:r>
        <w:rPr>
          <w:rFonts w:hint="eastAsia" w:ascii="黑体" w:hAnsi="Times New Roman" w:eastAsia="黑体" w:cs="黑体"/>
          <w:kern w:val="0"/>
          <w:sz w:val="28"/>
          <w:szCs w:val="20"/>
          <w:lang w:val="en-US" w:eastAsia="zh-CN" w:bidi="ar"/>
        </w:rPr>
        <w:fldChar w:fldCharType="begin">
          <w:ffData>
            <w:name w:val="PLSH_DATE_Y"/>
            <w:enabled/>
            <w:calcOnExit w:val="0"/>
            <w:textInput>
              <w:default w:val="XXXX"/>
              <w:maxLength w:val="4"/>
            </w:textInput>
          </w:ffData>
        </w:fldChar>
      </w:r>
      <w:bookmarkStart w:id="3" w:name="PLSH_DATE_Y"/>
      <w:r>
        <w:rPr>
          <w:rFonts w:hint="eastAsia" w:ascii="黑体" w:hAnsi="Times New Roman" w:eastAsia="黑体" w:cs="黑体"/>
          <w:kern w:val="0"/>
          <w:sz w:val="28"/>
          <w:szCs w:val="20"/>
          <w:lang w:val="en-US" w:eastAsia="zh-CN" w:bidi="ar"/>
        </w:rPr>
        <w:instrText xml:space="preserve"> FORMTEXT </w:instrText>
      </w:r>
      <w:r>
        <w:rPr>
          <w:rFonts w:hint="eastAsia" w:ascii="黑体" w:hAnsi="Times New Roman" w:eastAsia="黑体" w:cs="黑体"/>
          <w:kern w:val="0"/>
          <w:sz w:val="28"/>
          <w:szCs w:val="20"/>
          <w:lang w:val="en-US" w:eastAsia="zh-CN" w:bidi="ar"/>
        </w:rPr>
        <w:fldChar w:fldCharType="separate"/>
      </w:r>
      <w:r>
        <w:rPr>
          <w:rFonts w:hint="eastAsia" w:ascii="黑体" w:hAnsi="Times New Roman" w:eastAsia="黑体" w:cs="黑体"/>
          <w:kern w:val="0"/>
          <w:sz w:val="28"/>
          <w:szCs w:val="20"/>
          <w:lang w:val="en-US" w:eastAsia="zh-CN" w:bidi="ar"/>
        </w:rPr>
        <w:t>XXXX</w:t>
      </w:r>
      <w:r>
        <w:rPr>
          <w:rFonts w:hint="default" w:ascii="Times New Roman" w:hAnsi="Times New Roman" w:eastAsia="黑体" w:cs="Times New Roman"/>
          <w:kern w:val="0"/>
          <w:sz w:val="28"/>
          <w:szCs w:val="20"/>
          <w:lang w:val="en-US" w:eastAsia="zh-CN" w:bidi="ar"/>
        </w:rPr>
        <w:fldChar w:fldCharType="end"/>
      </w:r>
      <w:bookmarkEnd w:id="3"/>
      <w:r>
        <w:rPr>
          <w:rFonts w:hint="default" w:ascii="Times New Roman" w:hAnsi="Times New Roman" w:eastAsia="黑体" w:cs="Times New Roman"/>
          <w:kern w:val="0"/>
          <w:sz w:val="28"/>
          <w:szCs w:val="20"/>
          <w:lang w:val="en-US" w:eastAsia="zh-CN" w:bidi="ar"/>
        </w:rPr>
        <w:t xml:space="preserve"> </w:t>
      </w:r>
      <w:r>
        <w:rPr>
          <w:rFonts w:hint="eastAsia" w:ascii="黑体" w:hAnsi="Times New Roman" w:eastAsia="黑体" w:cs="黑体"/>
          <w:kern w:val="0"/>
          <w:sz w:val="28"/>
          <w:szCs w:val="20"/>
          <w:lang w:val="en-US" w:eastAsia="zh-CN" w:bidi="ar"/>
        </w:rPr>
        <w:t>-</w:t>
      </w:r>
      <w:r>
        <w:rPr>
          <w:rFonts w:hint="default" w:ascii="Times New Roman" w:hAnsi="Times New Roman" w:eastAsia="黑体" w:cs="Times New Roman"/>
          <w:kern w:val="0"/>
          <w:sz w:val="28"/>
          <w:szCs w:val="20"/>
          <w:lang w:val="en-US" w:eastAsia="zh-CN" w:bidi="ar"/>
        </w:rPr>
        <w:t xml:space="preserve"> </w:t>
      </w:r>
      <w:r>
        <w:rPr>
          <w:rFonts w:hint="eastAsia" w:ascii="黑体" w:hAnsi="Times New Roman" w:eastAsia="黑体" w:cs="黑体"/>
          <w:kern w:val="0"/>
          <w:sz w:val="28"/>
          <w:szCs w:val="20"/>
          <w:lang w:val="en-US" w:eastAsia="zh-CN" w:bidi="ar"/>
        </w:rPr>
        <w:fldChar w:fldCharType="begin">
          <w:ffData>
            <w:name w:val="PLSH_DATE_M"/>
            <w:enabled/>
            <w:calcOnExit w:val="0"/>
            <w:textInput>
              <w:default w:val="XX"/>
              <w:maxLength w:val="2"/>
            </w:textInput>
          </w:ffData>
        </w:fldChar>
      </w:r>
      <w:bookmarkStart w:id="4" w:name="PLSH_DATE_M"/>
      <w:r>
        <w:rPr>
          <w:rFonts w:hint="eastAsia" w:ascii="黑体" w:hAnsi="Times New Roman" w:eastAsia="黑体" w:cs="黑体"/>
          <w:kern w:val="0"/>
          <w:sz w:val="28"/>
          <w:szCs w:val="20"/>
          <w:lang w:val="en-US" w:eastAsia="zh-CN" w:bidi="ar"/>
        </w:rPr>
        <w:instrText xml:space="preserve"> FORMTEXT </w:instrText>
      </w:r>
      <w:r>
        <w:rPr>
          <w:rFonts w:hint="eastAsia" w:ascii="黑体" w:hAnsi="Times New Roman" w:eastAsia="黑体" w:cs="黑体"/>
          <w:kern w:val="0"/>
          <w:sz w:val="28"/>
          <w:szCs w:val="20"/>
          <w:lang w:val="en-US" w:eastAsia="zh-CN" w:bidi="ar"/>
        </w:rPr>
        <w:fldChar w:fldCharType="separate"/>
      </w:r>
      <w:r>
        <w:rPr>
          <w:rFonts w:hint="eastAsia" w:ascii="黑体" w:hAnsi="Times New Roman" w:eastAsia="黑体" w:cs="黑体"/>
          <w:kern w:val="0"/>
          <w:sz w:val="28"/>
          <w:szCs w:val="20"/>
          <w:lang w:val="en-US" w:eastAsia="zh-CN" w:bidi="ar"/>
        </w:rPr>
        <w:t>XX</w:t>
      </w:r>
      <w:r>
        <w:rPr>
          <w:rFonts w:hint="default" w:ascii="Times New Roman" w:hAnsi="Times New Roman" w:eastAsia="黑体" w:cs="Times New Roman"/>
          <w:kern w:val="0"/>
          <w:sz w:val="28"/>
          <w:szCs w:val="20"/>
          <w:lang w:val="en-US" w:eastAsia="zh-CN" w:bidi="ar"/>
        </w:rPr>
        <w:fldChar w:fldCharType="end"/>
      </w:r>
      <w:bookmarkEnd w:id="4"/>
      <w:r>
        <w:rPr>
          <w:rFonts w:hint="default" w:ascii="Times New Roman" w:hAnsi="Times New Roman" w:eastAsia="黑体" w:cs="Times New Roman"/>
          <w:kern w:val="0"/>
          <w:sz w:val="28"/>
          <w:szCs w:val="20"/>
          <w:lang w:val="en-US" w:eastAsia="zh-CN" w:bidi="ar"/>
        </w:rPr>
        <w:t xml:space="preserve"> </w:t>
      </w:r>
      <w:r>
        <w:rPr>
          <w:rFonts w:hint="eastAsia" w:ascii="黑体" w:hAnsi="Times New Roman" w:eastAsia="黑体" w:cs="黑体"/>
          <w:kern w:val="0"/>
          <w:sz w:val="28"/>
          <w:szCs w:val="20"/>
          <w:lang w:val="en-US" w:eastAsia="zh-CN" w:bidi="ar"/>
        </w:rPr>
        <w:t>-</w:t>
      </w:r>
      <w:r>
        <w:rPr>
          <w:rFonts w:hint="default" w:ascii="Times New Roman" w:hAnsi="Times New Roman" w:eastAsia="黑体" w:cs="Times New Roman"/>
          <w:kern w:val="0"/>
          <w:sz w:val="28"/>
          <w:szCs w:val="20"/>
          <w:lang w:val="en-US" w:eastAsia="zh-CN" w:bidi="ar"/>
        </w:rPr>
        <w:t xml:space="preserve"> </w:t>
      </w:r>
      <w:r>
        <w:rPr>
          <w:rFonts w:hint="eastAsia" w:ascii="黑体" w:hAnsi="Times New Roman" w:eastAsia="黑体" w:cs="黑体"/>
          <w:kern w:val="0"/>
          <w:sz w:val="28"/>
          <w:szCs w:val="20"/>
          <w:lang w:val="en-US" w:eastAsia="zh-CN" w:bidi="ar"/>
        </w:rPr>
        <w:fldChar w:fldCharType="begin">
          <w:ffData>
            <w:name w:val="PLSH_DATE_D"/>
            <w:enabled/>
            <w:calcOnExit w:val="0"/>
            <w:textInput>
              <w:default w:val="XX"/>
              <w:maxLength w:val="2"/>
            </w:textInput>
          </w:ffData>
        </w:fldChar>
      </w:r>
      <w:bookmarkStart w:id="5" w:name="PLSH_DATE_D"/>
      <w:r>
        <w:rPr>
          <w:rFonts w:hint="eastAsia" w:ascii="黑体" w:hAnsi="Times New Roman" w:eastAsia="黑体" w:cs="黑体"/>
          <w:kern w:val="0"/>
          <w:sz w:val="28"/>
          <w:szCs w:val="20"/>
          <w:lang w:val="en-US" w:eastAsia="zh-CN" w:bidi="ar"/>
        </w:rPr>
        <w:instrText xml:space="preserve"> FORMTEXT </w:instrText>
      </w:r>
      <w:r>
        <w:rPr>
          <w:rFonts w:hint="eastAsia" w:ascii="黑体" w:hAnsi="Times New Roman" w:eastAsia="黑体" w:cs="黑体"/>
          <w:kern w:val="0"/>
          <w:sz w:val="28"/>
          <w:szCs w:val="20"/>
          <w:lang w:val="en-US" w:eastAsia="zh-CN" w:bidi="ar"/>
        </w:rPr>
        <w:fldChar w:fldCharType="separate"/>
      </w:r>
      <w:r>
        <w:rPr>
          <w:rFonts w:hint="eastAsia" w:ascii="黑体" w:hAnsi="Times New Roman" w:eastAsia="黑体" w:cs="黑体"/>
          <w:kern w:val="0"/>
          <w:sz w:val="28"/>
          <w:szCs w:val="20"/>
          <w:lang w:val="en-US" w:eastAsia="zh-CN" w:bidi="ar"/>
        </w:rPr>
        <w:t>XX</w:t>
      </w:r>
      <w:r>
        <w:rPr>
          <w:rFonts w:hint="default" w:ascii="Times New Roman" w:hAnsi="Times New Roman" w:eastAsia="黑体" w:cs="Times New Roman"/>
          <w:kern w:val="0"/>
          <w:sz w:val="28"/>
          <w:szCs w:val="20"/>
          <w:lang w:val="en-US" w:eastAsia="zh-CN" w:bidi="ar"/>
        </w:rPr>
        <w:fldChar w:fldCharType="end"/>
      </w:r>
      <w:bookmarkEnd w:id="5"/>
      <w:r>
        <w:rPr>
          <w:rFonts w:hint="eastAsia" w:ascii="Times New Roman" w:hAnsi="Times New Roman" w:eastAsia="黑体" w:cs="黑体"/>
          <w:kern w:val="0"/>
          <w:sz w:val="28"/>
          <w:szCs w:val="20"/>
          <w:lang w:val="en-US" w:eastAsia="zh-CN" w:bidi="ar"/>
        </w:rPr>
        <w:t xml:space="preserve">发布                                  </w:t>
      </w:r>
      <w:r>
        <w:rPr>
          <w:rFonts w:hint="eastAsia" w:ascii="黑体" w:hAnsi="Times New Roman" w:eastAsia="黑体" w:cs="黑体"/>
          <w:kern w:val="0"/>
          <w:sz w:val="28"/>
          <w:szCs w:val="20"/>
          <w:lang w:val="en-US" w:eastAsia="zh-CN" w:bidi="ar"/>
        </w:rPr>
        <w:fldChar w:fldCharType="begin">
          <w:ffData>
            <w:name w:val="CROT_DATE_Y"/>
            <w:enabled/>
            <w:calcOnExit w:val="0"/>
            <w:textInput>
              <w:default w:val="XXXX"/>
              <w:maxLength w:val="4"/>
            </w:textInput>
          </w:ffData>
        </w:fldChar>
      </w:r>
      <w:bookmarkStart w:id="6" w:name="CROT_DATE_Y"/>
      <w:r>
        <w:rPr>
          <w:rFonts w:hint="eastAsia" w:ascii="黑体" w:hAnsi="Times New Roman" w:eastAsia="黑体" w:cs="黑体"/>
          <w:kern w:val="0"/>
          <w:sz w:val="28"/>
          <w:szCs w:val="20"/>
          <w:lang w:val="en-US" w:eastAsia="zh-CN" w:bidi="ar"/>
        </w:rPr>
        <w:instrText xml:space="preserve"> FORMTEXT </w:instrText>
      </w:r>
      <w:r>
        <w:rPr>
          <w:rFonts w:hint="eastAsia" w:ascii="黑体" w:hAnsi="Times New Roman" w:eastAsia="黑体" w:cs="黑体"/>
          <w:kern w:val="0"/>
          <w:sz w:val="28"/>
          <w:szCs w:val="20"/>
          <w:lang w:val="en-US" w:eastAsia="zh-CN" w:bidi="ar"/>
        </w:rPr>
        <w:fldChar w:fldCharType="separate"/>
      </w:r>
      <w:r>
        <w:rPr>
          <w:rFonts w:hint="eastAsia" w:ascii="黑体" w:hAnsi="Times New Roman" w:eastAsia="黑体" w:cs="黑体"/>
          <w:kern w:val="0"/>
          <w:sz w:val="28"/>
          <w:szCs w:val="20"/>
          <w:lang w:val="en-US" w:eastAsia="zh-CN" w:bidi="ar"/>
        </w:rPr>
        <w:t>XXXX</w:t>
      </w:r>
      <w:r>
        <w:rPr>
          <w:rFonts w:hint="default" w:ascii="Times New Roman" w:hAnsi="Times New Roman" w:eastAsia="黑体" w:cs="Times New Roman"/>
          <w:kern w:val="0"/>
          <w:sz w:val="28"/>
          <w:szCs w:val="20"/>
          <w:lang w:val="en-US" w:eastAsia="zh-CN" w:bidi="ar"/>
        </w:rPr>
        <w:fldChar w:fldCharType="end"/>
      </w:r>
      <w:bookmarkEnd w:id="6"/>
      <w:r>
        <w:rPr>
          <w:rFonts w:hint="default" w:ascii="Times New Roman" w:hAnsi="Times New Roman" w:eastAsia="黑体" w:cs="Times New Roman"/>
          <w:kern w:val="0"/>
          <w:sz w:val="28"/>
          <w:szCs w:val="20"/>
          <w:lang w:val="en-US" w:eastAsia="zh-CN" w:bidi="ar"/>
        </w:rPr>
        <w:t xml:space="preserve"> </w:t>
      </w:r>
      <w:r>
        <w:rPr>
          <w:rFonts w:hint="eastAsia" w:ascii="黑体" w:hAnsi="Times New Roman" w:eastAsia="黑体" w:cs="黑体"/>
          <w:kern w:val="0"/>
          <w:sz w:val="28"/>
          <w:szCs w:val="20"/>
          <w:lang w:val="en-US" w:eastAsia="zh-CN" w:bidi="ar"/>
        </w:rPr>
        <w:t>-</w:t>
      </w:r>
      <w:r>
        <w:rPr>
          <w:rFonts w:hint="default" w:ascii="Times New Roman" w:hAnsi="Times New Roman" w:eastAsia="黑体" w:cs="Times New Roman"/>
          <w:kern w:val="0"/>
          <w:sz w:val="28"/>
          <w:szCs w:val="20"/>
          <w:lang w:val="en-US" w:eastAsia="zh-CN" w:bidi="ar"/>
        </w:rPr>
        <w:t xml:space="preserve"> </w:t>
      </w:r>
      <w:r>
        <w:rPr>
          <w:rFonts w:hint="eastAsia" w:ascii="黑体" w:hAnsi="Times New Roman" w:eastAsia="黑体" w:cs="黑体"/>
          <w:kern w:val="0"/>
          <w:sz w:val="28"/>
          <w:szCs w:val="20"/>
          <w:lang w:val="en-US" w:eastAsia="zh-CN" w:bidi="ar"/>
        </w:rPr>
        <w:fldChar w:fldCharType="begin">
          <w:ffData>
            <w:name w:val="CROT_DATE_M"/>
            <w:enabled/>
            <w:calcOnExit w:val="0"/>
            <w:textInput>
              <w:default w:val="XX"/>
              <w:maxLength w:val="2"/>
            </w:textInput>
          </w:ffData>
        </w:fldChar>
      </w:r>
      <w:bookmarkStart w:id="7" w:name="CROT_DATE_M"/>
      <w:r>
        <w:rPr>
          <w:rFonts w:hint="eastAsia" w:ascii="黑体" w:hAnsi="Times New Roman" w:eastAsia="黑体" w:cs="黑体"/>
          <w:kern w:val="0"/>
          <w:sz w:val="28"/>
          <w:szCs w:val="20"/>
          <w:lang w:val="en-US" w:eastAsia="zh-CN" w:bidi="ar"/>
        </w:rPr>
        <w:instrText xml:space="preserve"> FORMTEXT </w:instrText>
      </w:r>
      <w:r>
        <w:rPr>
          <w:rFonts w:hint="eastAsia" w:ascii="黑体" w:hAnsi="Times New Roman" w:eastAsia="黑体" w:cs="黑体"/>
          <w:kern w:val="0"/>
          <w:sz w:val="28"/>
          <w:szCs w:val="20"/>
          <w:lang w:val="en-US" w:eastAsia="zh-CN" w:bidi="ar"/>
        </w:rPr>
        <w:fldChar w:fldCharType="separate"/>
      </w:r>
      <w:r>
        <w:rPr>
          <w:rFonts w:hint="eastAsia" w:ascii="黑体" w:hAnsi="Times New Roman" w:eastAsia="黑体" w:cs="黑体"/>
          <w:kern w:val="0"/>
          <w:sz w:val="28"/>
          <w:szCs w:val="20"/>
          <w:lang w:val="en-US" w:eastAsia="zh-CN" w:bidi="ar"/>
        </w:rPr>
        <w:t>XX</w:t>
      </w:r>
      <w:r>
        <w:rPr>
          <w:rFonts w:hint="default" w:ascii="Times New Roman" w:hAnsi="Times New Roman" w:eastAsia="黑体" w:cs="Times New Roman"/>
          <w:kern w:val="0"/>
          <w:sz w:val="28"/>
          <w:szCs w:val="20"/>
          <w:lang w:val="en-US" w:eastAsia="zh-CN" w:bidi="ar"/>
        </w:rPr>
        <w:fldChar w:fldCharType="end"/>
      </w:r>
      <w:bookmarkEnd w:id="7"/>
      <w:r>
        <w:rPr>
          <w:rFonts w:hint="default" w:ascii="Times New Roman" w:hAnsi="Times New Roman" w:eastAsia="黑体" w:cs="Times New Roman"/>
          <w:kern w:val="0"/>
          <w:sz w:val="28"/>
          <w:szCs w:val="20"/>
          <w:lang w:val="en-US" w:eastAsia="zh-CN" w:bidi="ar"/>
        </w:rPr>
        <w:t xml:space="preserve"> </w:t>
      </w:r>
      <w:r>
        <w:rPr>
          <w:rFonts w:hint="eastAsia" w:ascii="黑体" w:hAnsi="Times New Roman" w:eastAsia="黑体" w:cs="黑体"/>
          <w:kern w:val="0"/>
          <w:sz w:val="28"/>
          <w:szCs w:val="20"/>
          <w:lang w:val="en-US" w:eastAsia="zh-CN" w:bidi="ar"/>
        </w:rPr>
        <w:t>-</w:t>
      </w:r>
      <w:r>
        <w:rPr>
          <w:rFonts w:hint="default" w:ascii="Times New Roman" w:hAnsi="Times New Roman" w:eastAsia="黑体" w:cs="Times New Roman"/>
          <w:kern w:val="0"/>
          <w:sz w:val="28"/>
          <w:szCs w:val="20"/>
          <w:lang w:val="en-US" w:eastAsia="zh-CN" w:bidi="ar"/>
        </w:rPr>
        <w:t xml:space="preserve"> </w:t>
      </w:r>
      <w:r>
        <w:rPr>
          <w:rFonts w:hint="eastAsia" w:ascii="黑体" w:hAnsi="Times New Roman" w:eastAsia="黑体" w:cs="黑体"/>
          <w:kern w:val="0"/>
          <w:sz w:val="28"/>
          <w:szCs w:val="20"/>
          <w:lang w:val="en-US" w:eastAsia="zh-CN" w:bidi="ar"/>
        </w:rPr>
        <w:fldChar w:fldCharType="begin">
          <w:ffData>
            <w:name w:val="CROT_DATE_D"/>
            <w:enabled/>
            <w:calcOnExit w:val="0"/>
            <w:textInput>
              <w:default w:val="XX"/>
              <w:maxLength w:val="2"/>
            </w:textInput>
          </w:ffData>
        </w:fldChar>
      </w:r>
      <w:bookmarkStart w:id="8" w:name="CROT_DATE_D"/>
      <w:r>
        <w:rPr>
          <w:rFonts w:hint="eastAsia" w:ascii="黑体" w:hAnsi="Times New Roman" w:eastAsia="黑体" w:cs="黑体"/>
          <w:kern w:val="0"/>
          <w:sz w:val="28"/>
          <w:szCs w:val="20"/>
          <w:lang w:val="en-US" w:eastAsia="zh-CN" w:bidi="ar"/>
        </w:rPr>
        <w:instrText xml:space="preserve"> FORMTEXT </w:instrText>
      </w:r>
      <w:r>
        <w:rPr>
          <w:rFonts w:hint="eastAsia" w:ascii="黑体" w:hAnsi="Times New Roman" w:eastAsia="黑体" w:cs="黑体"/>
          <w:kern w:val="0"/>
          <w:sz w:val="28"/>
          <w:szCs w:val="20"/>
          <w:lang w:val="en-US" w:eastAsia="zh-CN" w:bidi="ar"/>
        </w:rPr>
        <w:fldChar w:fldCharType="separate"/>
      </w:r>
      <w:r>
        <w:rPr>
          <w:rFonts w:hint="eastAsia" w:ascii="黑体" w:hAnsi="Times New Roman" w:eastAsia="黑体" w:cs="黑体"/>
          <w:kern w:val="0"/>
          <w:sz w:val="28"/>
          <w:szCs w:val="20"/>
          <w:lang w:val="en-US" w:eastAsia="zh-CN" w:bidi="ar"/>
        </w:rPr>
        <w:t>XX</w:t>
      </w:r>
      <w:r>
        <w:rPr>
          <w:rFonts w:hint="default" w:ascii="Times New Roman" w:hAnsi="Times New Roman" w:eastAsia="黑体" w:cs="Times New Roman"/>
          <w:kern w:val="0"/>
          <w:sz w:val="28"/>
          <w:szCs w:val="20"/>
          <w:lang w:val="en-US" w:eastAsia="zh-CN" w:bidi="ar"/>
        </w:rPr>
        <w:fldChar w:fldCharType="end"/>
      </w:r>
      <w:bookmarkEnd w:id="8"/>
      <w:r>
        <w:rPr>
          <w:rFonts w:hint="eastAsia" w:ascii="Times New Roman" w:hAnsi="Times New Roman" w:eastAsia="黑体" w:cs="黑体"/>
          <w:kern w:val="0"/>
          <w:sz w:val="28"/>
          <w:szCs w:val="20"/>
          <w:lang w:val="en-US" w:eastAsia="zh-CN" w:bidi="ar"/>
        </w:rPr>
        <w:t xml:space="preserve">实施                    </w:t>
      </w:r>
    </w:p>
    <w:p w14:paraId="58C6162A">
      <w:pPr>
        <w:pStyle w:val="103"/>
        <w:spacing w:after="468"/>
        <w:jc w:val="left"/>
        <w:rPr>
          <w:rFonts w:hint="default"/>
          <w:snapToGrid w:val="0"/>
          <w:color w:val="auto"/>
          <w:spacing w:val="0"/>
          <w:kern w:val="0"/>
          <w:lang w:val="en-US"/>
        </w:rPr>
      </w:pPr>
      <w:r>
        <w:rPr>
          <w:rFonts w:ascii="黑体" w:hAnsi="黑体" w:eastAsia="黑体"/>
          <w:snapToGrid w:val="0"/>
          <w:color w:val="auto"/>
          <w:spacing w:val="0"/>
          <w:kern w:val="0"/>
          <w:sz w:val="52"/>
          <w:szCs w:val="20"/>
        </w:rPr>
        <w:drawing>
          <wp:anchor distT="0" distB="0" distL="114300" distR="114300" simplePos="0" relativeHeight="251659264" behindDoc="0" locked="0" layoutInCell="1" allowOverlap="0">
            <wp:simplePos x="0" y="0"/>
            <wp:positionH relativeFrom="page">
              <wp:posOffset>5180965</wp:posOffset>
            </wp:positionH>
            <wp:positionV relativeFrom="page">
              <wp:posOffset>1420495</wp:posOffset>
            </wp:positionV>
            <wp:extent cx="1447165" cy="732790"/>
            <wp:effectExtent l="0" t="0" r="635" b="10160"/>
            <wp:wrapNone/>
            <wp:docPr id="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pic:cNvPicPr>
                      <a:picLocks noChangeAspect="1"/>
                    </pic:cNvPicPr>
                  </pic:nvPicPr>
                  <pic:blipFill>
                    <a:blip r:embed="rId20"/>
                    <a:stretch>
                      <a:fillRect/>
                    </a:stretch>
                  </pic:blipFill>
                  <pic:spPr>
                    <a:xfrm>
                      <a:off x="0" y="0"/>
                      <a:ext cx="1447165" cy="732790"/>
                    </a:xfrm>
                    <a:prstGeom prst="rect">
                      <a:avLst/>
                    </a:prstGeom>
                    <a:noFill/>
                    <a:ln>
                      <a:noFill/>
                    </a:ln>
                  </pic:spPr>
                </pic:pic>
              </a:graphicData>
            </a:graphic>
          </wp:anchor>
        </w:drawing>
      </w:r>
      <w:r>
        <w:rPr>
          <w:rFonts w:hint="eastAsia"/>
          <w:snapToGrid w:val="0"/>
          <w:color w:val="auto"/>
          <w:spacing w:val="0"/>
          <w:kern w:val="0"/>
          <w:lang w:eastAsia="zh-CN"/>
        </w:rPr>
        <w:t>附件</w:t>
      </w:r>
      <w:r>
        <w:rPr>
          <w:rFonts w:hint="eastAsia"/>
          <w:snapToGrid w:val="0"/>
          <w:color w:val="auto"/>
          <w:spacing w:val="0"/>
          <w:kern w:val="0"/>
          <w:lang w:val="en-US" w:eastAsia="zh-CN"/>
        </w:rPr>
        <w:t>1</w:t>
      </w:r>
    </w:p>
    <w:p w14:paraId="013F94D2">
      <w:pPr>
        <w:pStyle w:val="103"/>
        <w:spacing w:after="468"/>
        <w:jc w:val="center"/>
        <w:rPr>
          <w:rFonts w:hint="eastAsia" w:eastAsia="黑体"/>
          <w:color w:val="auto"/>
          <w:spacing w:val="320"/>
          <w:lang w:eastAsia="zh-CN"/>
        </w:rPr>
        <w:sectPr>
          <w:footerReference r:id="rId6" w:type="first"/>
          <w:footerReference r:id="rId5" w:type="even"/>
          <w:pgSz w:w="11906" w:h="16838"/>
          <w:pgMar w:top="567" w:right="1134" w:bottom="1134" w:left="1134" w:header="1418" w:footer="1134" w:gutter="284"/>
          <w:pgNumType w:fmt="decimal" w:start="1"/>
          <w:cols w:space="720" w:num="1"/>
          <w:formProt w:val="0"/>
          <w:titlePg/>
          <w:docGrid w:type="lines" w:linePitch="312" w:charSpace="0"/>
        </w:sectPr>
      </w:pPr>
      <w:r>
        <w:drawing>
          <wp:anchor distT="0" distB="0" distL="114300" distR="114300" simplePos="0" relativeHeight="251660288" behindDoc="0" locked="0" layoutInCell="1" allowOverlap="1">
            <wp:simplePos x="0" y="0"/>
            <wp:positionH relativeFrom="page">
              <wp:posOffset>845185</wp:posOffset>
            </wp:positionH>
            <wp:positionV relativeFrom="page">
              <wp:posOffset>8362950</wp:posOffset>
            </wp:positionV>
            <wp:extent cx="5936615" cy="11430"/>
            <wp:effectExtent l="0" t="0" r="0" b="0"/>
            <wp:wrapNone/>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pic:cNvPicPr>
                      <a:picLocks noChangeAspect="1"/>
                    </pic:cNvPicPr>
                  </pic:nvPicPr>
                  <pic:blipFill>
                    <a:blip r:embed="rId18"/>
                    <a:stretch>
                      <a:fillRect/>
                    </a:stretch>
                  </pic:blipFill>
                  <pic:spPr>
                    <a:xfrm>
                      <a:off x="0" y="0"/>
                      <a:ext cx="5936615" cy="11430"/>
                    </a:xfrm>
                    <a:prstGeom prst="rect">
                      <a:avLst/>
                    </a:prstGeom>
                    <a:noFill/>
                    <a:ln>
                      <a:noFill/>
                    </a:ln>
                  </pic:spPr>
                </pic:pic>
              </a:graphicData>
            </a:graphic>
          </wp:anchor>
        </w:drawing>
      </w:r>
    </w:p>
    <w:p w14:paraId="1FE19F2A">
      <w:pPr>
        <w:pStyle w:val="103"/>
        <w:spacing w:after="468"/>
        <w:ind w:firstLine="3840" w:firstLineChars="400"/>
        <w:jc w:val="both"/>
        <w:rPr>
          <w:color w:val="auto"/>
        </w:rPr>
      </w:pPr>
      <w:r>
        <w:rPr>
          <w:rFonts w:hint="eastAsia"/>
          <w:color w:val="auto"/>
          <w:spacing w:val="320"/>
        </w:rPr>
        <w:t>目</w:t>
      </w:r>
      <w:r>
        <w:rPr>
          <w:rFonts w:hint="eastAsia"/>
          <w:color w:val="auto"/>
        </w:rPr>
        <w:t>次</w:t>
      </w:r>
    </w:p>
    <w:p w14:paraId="1920F0FA">
      <w:pPr>
        <w:pStyle w:val="23"/>
        <w:tabs>
          <w:tab w:val="right" w:leader="dot" w:pos="9354"/>
        </w:tabs>
      </w:pPr>
      <w:r>
        <w:rPr>
          <w:color w:val="auto"/>
        </w:rPr>
        <w:fldChar w:fldCharType="begin"/>
      </w:r>
      <w:r>
        <w:rPr>
          <w:color w:val="auto"/>
        </w:rPr>
        <w:instrText xml:space="preserve">TOC \o "1-3" \h \u </w:instrText>
      </w:r>
      <w:r>
        <w:rPr>
          <w:color w:val="auto"/>
        </w:rPr>
        <w:fldChar w:fldCharType="separate"/>
      </w:r>
      <w:r>
        <w:rPr>
          <w:color w:val="auto"/>
        </w:rPr>
        <w:fldChar w:fldCharType="begin"/>
      </w:r>
      <w:r>
        <w:instrText xml:space="preserve"> HYPERLINK \l _Toc13757 </w:instrText>
      </w:r>
      <w:r>
        <w:fldChar w:fldCharType="separate"/>
      </w:r>
      <w:r>
        <w:rPr>
          <w:rFonts w:hint="eastAsia"/>
          <w:lang w:val="en-US" w:eastAsia="zh-CN"/>
        </w:rPr>
        <w:t xml:space="preserve">前  </w:t>
      </w:r>
      <w:r>
        <w:t>言</w:t>
      </w:r>
      <w:r>
        <w:tab/>
      </w:r>
      <w:r>
        <w:fldChar w:fldCharType="begin"/>
      </w:r>
      <w:r>
        <w:instrText xml:space="preserve"> PAGEREF _Toc13757 \h </w:instrText>
      </w:r>
      <w:r>
        <w:fldChar w:fldCharType="separate"/>
      </w:r>
      <w:r>
        <w:t>3</w:t>
      </w:r>
      <w:r>
        <w:fldChar w:fldCharType="end"/>
      </w:r>
      <w:r>
        <w:rPr>
          <w:color w:val="auto"/>
        </w:rPr>
        <w:fldChar w:fldCharType="end"/>
      </w:r>
    </w:p>
    <w:p w14:paraId="4F47AF8E">
      <w:pPr>
        <w:pStyle w:val="23"/>
        <w:tabs>
          <w:tab w:val="right" w:leader="dot" w:pos="9354"/>
        </w:tabs>
      </w:pPr>
      <w:r>
        <w:rPr>
          <w:color w:val="auto"/>
        </w:rPr>
        <w:fldChar w:fldCharType="begin"/>
      </w:r>
      <w:r>
        <w:instrText xml:space="preserve"> HYPERLINK \l _Toc6391 </w:instrText>
      </w:r>
      <w:r>
        <w:fldChar w:fldCharType="separate"/>
      </w:r>
      <w:r>
        <w:rPr>
          <w:rFonts w:hint="eastAsia" w:ascii="黑体" w:eastAsia="黑体"/>
          <w:i w:val="0"/>
          <w:szCs w:val="21"/>
        </w:rPr>
        <w:t xml:space="preserve">1 </w:t>
      </w:r>
      <w:r>
        <w:rPr>
          <w:rFonts w:hint="eastAsia"/>
          <w:szCs w:val="21"/>
        </w:rPr>
        <w:t>范围</w:t>
      </w:r>
      <w:r>
        <w:tab/>
      </w:r>
      <w:r>
        <w:fldChar w:fldCharType="begin"/>
      </w:r>
      <w:r>
        <w:instrText xml:space="preserve"> PAGEREF _Toc6391 \h </w:instrText>
      </w:r>
      <w:r>
        <w:fldChar w:fldCharType="separate"/>
      </w:r>
      <w:r>
        <w:t>4</w:t>
      </w:r>
      <w:r>
        <w:fldChar w:fldCharType="end"/>
      </w:r>
      <w:r>
        <w:rPr>
          <w:color w:val="auto"/>
        </w:rPr>
        <w:fldChar w:fldCharType="end"/>
      </w:r>
    </w:p>
    <w:p w14:paraId="4D274F03">
      <w:pPr>
        <w:pStyle w:val="23"/>
        <w:tabs>
          <w:tab w:val="right" w:leader="dot" w:pos="9354"/>
        </w:tabs>
      </w:pPr>
      <w:r>
        <w:rPr>
          <w:color w:val="auto"/>
        </w:rPr>
        <w:fldChar w:fldCharType="begin"/>
      </w:r>
      <w:r>
        <w:instrText xml:space="preserve"> HYPERLINK \l _Toc31894 </w:instrText>
      </w:r>
      <w:r>
        <w:fldChar w:fldCharType="separate"/>
      </w:r>
      <w:r>
        <w:rPr>
          <w:rFonts w:hint="eastAsia" w:ascii="黑体" w:eastAsia="黑体"/>
          <w:i w:val="0"/>
          <w:szCs w:val="21"/>
        </w:rPr>
        <w:t xml:space="preserve">2 </w:t>
      </w:r>
      <w:r>
        <w:rPr>
          <w:rFonts w:hint="eastAsia"/>
          <w:szCs w:val="21"/>
        </w:rPr>
        <w:t>规范性引用文件</w:t>
      </w:r>
      <w:r>
        <w:tab/>
      </w:r>
      <w:r>
        <w:fldChar w:fldCharType="begin"/>
      </w:r>
      <w:r>
        <w:instrText xml:space="preserve"> PAGEREF _Toc31894 \h </w:instrText>
      </w:r>
      <w:r>
        <w:fldChar w:fldCharType="separate"/>
      </w:r>
      <w:r>
        <w:t>4</w:t>
      </w:r>
      <w:r>
        <w:fldChar w:fldCharType="end"/>
      </w:r>
      <w:r>
        <w:rPr>
          <w:color w:val="auto"/>
        </w:rPr>
        <w:fldChar w:fldCharType="end"/>
      </w:r>
    </w:p>
    <w:p w14:paraId="21F6B1A8">
      <w:pPr>
        <w:pStyle w:val="23"/>
        <w:tabs>
          <w:tab w:val="right" w:leader="dot" w:pos="9354"/>
        </w:tabs>
      </w:pPr>
      <w:r>
        <w:rPr>
          <w:color w:val="auto"/>
        </w:rPr>
        <w:fldChar w:fldCharType="begin"/>
      </w:r>
      <w:r>
        <w:instrText xml:space="preserve"> HYPERLINK \l _Toc14338 </w:instrText>
      </w:r>
      <w:r>
        <w:fldChar w:fldCharType="separate"/>
      </w:r>
      <w:r>
        <w:rPr>
          <w:rFonts w:hint="eastAsia" w:ascii="黑体" w:eastAsia="黑体"/>
          <w:i w:val="0"/>
          <w:szCs w:val="21"/>
        </w:rPr>
        <w:t xml:space="preserve">3 </w:t>
      </w:r>
      <w:r>
        <w:rPr>
          <w:rFonts w:hint="eastAsia"/>
          <w:szCs w:val="21"/>
        </w:rPr>
        <w:t>术语和定义</w:t>
      </w:r>
      <w:r>
        <w:tab/>
      </w:r>
      <w:r>
        <w:fldChar w:fldCharType="begin"/>
      </w:r>
      <w:r>
        <w:instrText xml:space="preserve"> PAGEREF _Toc14338 \h </w:instrText>
      </w:r>
      <w:r>
        <w:fldChar w:fldCharType="separate"/>
      </w:r>
      <w:r>
        <w:t>4</w:t>
      </w:r>
      <w:r>
        <w:fldChar w:fldCharType="end"/>
      </w:r>
      <w:r>
        <w:rPr>
          <w:color w:val="auto"/>
        </w:rPr>
        <w:fldChar w:fldCharType="end"/>
      </w:r>
    </w:p>
    <w:p w14:paraId="2CB33D5E">
      <w:pPr>
        <w:pStyle w:val="23"/>
        <w:tabs>
          <w:tab w:val="right" w:leader="dot" w:pos="9354"/>
        </w:tabs>
      </w:pPr>
      <w:r>
        <w:rPr>
          <w:color w:val="auto"/>
        </w:rPr>
        <w:fldChar w:fldCharType="begin"/>
      </w:r>
      <w:r>
        <w:instrText xml:space="preserve"> HYPERLINK \l _Toc26714 </w:instrText>
      </w:r>
      <w:r>
        <w:fldChar w:fldCharType="separate"/>
      </w:r>
      <w:r>
        <w:rPr>
          <w:rFonts w:hint="eastAsia" w:ascii="黑体" w:eastAsia="黑体"/>
          <w:i w:val="0"/>
          <w:szCs w:val="21"/>
        </w:rPr>
        <w:t xml:space="preserve">4 </w:t>
      </w:r>
      <w:r>
        <w:rPr>
          <w:rFonts w:hint="eastAsia"/>
          <w:szCs w:val="21"/>
        </w:rPr>
        <w:t>一般要求</w:t>
      </w:r>
      <w:r>
        <w:tab/>
      </w:r>
      <w:r>
        <w:fldChar w:fldCharType="begin"/>
      </w:r>
      <w:r>
        <w:instrText xml:space="preserve"> PAGEREF _Toc26714 \h </w:instrText>
      </w:r>
      <w:r>
        <w:fldChar w:fldCharType="separate"/>
      </w:r>
      <w:r>
        <w:t>5</w:t>
      </w:r>
      <w:r>
        <w:fldChar w:fldCharType="end"/>
      </w:r>
      <w:r>
        <w:rPr>
          <w:color w:val="auto"/>
        </w:rPr>
        <w:fldChar w:fldCharType="end"/>
      </w:r>
    </w:p>
    <w:p w14:paraId="2A52FA54">
      <w:pPr>
        <w:pStyle w:val="23"/>
        <w:tabs>
          <w:tab w:val="right" w:leader="dot" w:pos="9354"/>
        </w:tabs>
      </w:pPr>
      <w:r>
        <w:rPr>
          <w:color w:val="auto"/>
        </w:rPr>
        <w:fldChar w:fldCharType="begin"/>
      </w:r>
      <w:r>
        <w:instrText xml:space="preserve"> HYPERLINK \l _Toc13932 </w:instrText>
      </w:r>
      <w:r>
        <w:fldChar w:fldCharType="separate"/>
      </w:r>
      <w:r>
        <w:rPr>
          <w:rFonts w:hint="eastAsia" w:ascii="黑体" w:eastAsia="黑体"/>
          <w:i w:val="0"/>
          <w:szCs w:val="21"/>
        </w:rPr>
        <w:t xml:space="preserve">5 </w:t>
      </w:r>
      <w:r>
        <w:rPr>
          <w:rFonts w:hint="eastAsia"/>
          <w:szCs w:val="21"/>
        </w:rPr>
        <w:t>管理要素</w:t>
      </w:r>
      <w:r>
        <w:tab/>
      </w:r>
      <w:r>
        <w:fldChar w:fldCharType="begin"/>
      </w:r>
      <w:r>
        <w:instrText xml:space="preserve"> PAGEREF _Toc13932 \h </w:instrText>
      </w:r>
      <w:r>
        <w:fldChar w:fldCharType="separate"/>
      </w:r>
      <w:r>
        <w:t>5</w:t>
      </w:r>
      <w:r>
        <w:fldChar w:fldCharType="end"/>
      </w:r>
      <w:r>
        <w:rPr>
          <w:color w:val="auto"/>
        </w:rPr>
        <w:fldChar w:fldCharType="end"/>
      </w:r>
    </w:p>
    <w:p w14:paraId="66CB42AF">
      <w:pPr>
        <w:pStyle w:val="28"/>
        <w:tabs>
          <w:tab w:val="right" w:leader="dot" w:pos="9354"/>
          <w:tab w:val="clear" w:pos="9344"/>
        </w:tabs>
      </w:pPr>
      <w:r>
        <w:rPr>
          <w:color w:val="auto"/>
        </w:rPr>
        <w:fldChar w:fldCharType="begin"/>
      </w:r>
      <w:r>
        <w:instrText xml:space="preserve"> HYPERLINK \l _Toc9365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rPr>
        <w:t xml:space="preserve">5.1 </w:t>
      </w:r>
      <w:r>
        <w:rPr>
          <w:rFonts w:hint="eastAsia"/>
          <w:szCs w:val="21"/>
        </w:rPr>
        <w:t>安全领导力</w:t>
      </w:r>
      <w:r>
        <w:tab/>
      </w:r>
      <w:r>
        <w:fldChar w:fldCharType="begin"/>
      </w:r>
      <w:r>
        <w:instrText xml:space="preserve"> PAGEREF _Toc9365 \h </w:instrText>
      </w:r>
      <w:r>
        <w:fldChar w:fldCharType="separate"/>
      </w:r>
      <w:r>
        <w:t>5</w:t>
      </w:r>
      <w:r>
        <w:fldChar w:fldCharType="end"/>
      </w:r>
      <w:r>
        <w:rPr>
          <w:color w:val="auto"/>
        </w:rPr>
        <w:fldChar w:fldCharType="end"/>
      </w:r>
    </w:p>
    <w:p w14:paraId="6A85C648">
      <w:pPr>
        <w:pStyle w:val="19"/>
        <w:tabs>
          <w:tab w:val="right" w:leader="dot" w:pos="9354"/>
        </w:tabs>
      </w:pPr>
      <w:r>
        <w:rPr>
          <w:color w:val="auto"/>
        </w:rPr>
        <w:fldChar w:fldCharType="begin"/>
      </w:r>
      <w:r>
        <w:instrText xml:space="preserve"> HYPERLINK \l _Toc16716 </w:instrText>
      </w:r>
      <w:r>
        <w:fldChar w:fldCharType="separate"/>
      </w:r>
      <w:r>
        <w:rPr>
          <w:rFonts w:hint="eastAsia" w:ascii="黑体" w:eastAsia="黑体"/>
          <w:i w:val="0"/>
          <w:szCs w:val="21"/>
        </w:rPr>
        <w:t xml:space="preserve">5.1.1 </w:t>
      </w:r>
      <w:r>
        <w:rPr>
          <w:rFonts w:hint="eastAsia"/>
          <w:szCs w:val="21"/>
          <w:lang w:bidi="ar"/>
        </w:rPr>
        <w:t>安全</w:t>
      </w:r>
      <w:r>
        <w:rPr>
          <w:rFonts w:hint="eastAsia"/>
          <w:szCs w:val="21"/>
          <w:lang w:val="en-US" w:eastAsia="zh-CN" w:bidi="ar"/>
        </w:rPr>
        <w:t>方针、</w:t>
      </w:r>
      <w:r>
        <w:rPr>
          <w:rFonts w:hint="eastAsia"/>
          <w:szCs w:val="21"/>
          <w:lang w:bidi="ar"/>
        </w:rPr>
        <w:t>目标</w:t>
      </w:r>
      <w:r>
        <w:rPr>
          <w:rFonts w:hint="eastAsia"/>
          <w:szCs w:val="21"/>
          <w:lang w:val="en-US" w:eastAsia="zh-CN" w:bidi="ar"/>
        </w:rPr>
        <w:t>和战略</w:t>
      </w:r>
      <w:r>
        <w:tab/>
      </w:r>
      <w:r>
        <w:fldChar w:fldCharType="begin"/>
      </w:r>
      <w:r>
        <w:instrText xml:space="preserve"> PAGEREF _Toc16716 \h </w:instrText>
      </w:r>
      <w:r>
        <w:fldChar w:fldCharType="separate"/>
      </w:r>
      <w:r>
        <w:t>5</w:t>
      </w:r>
      <w:r>
        <w:fldChar w:fldCharType="end"/>
      </w:r>
      <w:r>
        <w:rPr>
          <w:color w:val="auto"/>
        </w:rPr>
        <w:fldChar w:fldCharType="end"/>
      </w:r>
    </w:p>
    <w:p w14:paraId="7909FD0E">
      <w:pPr>
        <w:pStyle w:val="19"/>
        <w:tabs>
          <w:tab w:val="right" w:leader="dot" w:pos="9354"/>
        </w:tabs>
      </w:pPr>
      <w:r>
        <w:rPr>
          <w:color w:val="auto"/>
        </w:rPr>
        <w:fldChar w:fldCharType="begin"/>
      </w:r>
      <w:r>
        <w:instrText xml:space="preserve"> HYPERLINK \l _Toc16770 </w:instrText>
      </w:r>
      <w:r>
        <w:fldChar w:fldCharType="separate"/>
      </w:r>
      <w:r>
        <w:rPr>
          <w:rFonts w:hint="eastAsia" w:ascii="黑体" w:eastAsia="黑体"/>
          <w:i w:val="0"/>
          <w:szCs w:val="21"/>
        </w:rPr>
        <w:t xml:space="preserve">5.1.2 </w:t>
      </w:r>
      <w:r>
        <w:rPr>
          <w:rFonts w:hint="eastAsia"/>
          <w:szCs w:val="21"/>
        </w:rPr>
        <w:t>安全承诺</w:t>
      </w:r>
      <w:r>
        <w:tab/>
      </w:r>
      <w:r>
        <w:fldChar w:fldCharType="begin"/>
      </w:r>
      <w:r>
        <w:instrText xml:space="preserve"> PAGEREF _Toc16770 \h </w:instrText>
      </w:r>
      <w:r>
        <w:fldChar w:fldCharType="separate"/>
      </w:r>
      <w:r>
        <w:t>6</w:t>
      </w:r>
      <w:r>
        <w:fldChar w:fldCharType="end"/>
      </w:r>
      <w:r>
        <w:rPr>
          <w:color w:val="auto"/>
        </w:rPr>
        <w:fldChar w:fldCharType="end"/>
      </w:r>
    </w:p>
    <w:p w14:paraId="538D4A06">
      <w:pPr>
        <w:pStyle w:val="19"/>
        <w:tabs>
          <w:tab w:val="right" w:leader="dot" w:pos="9354"/>
        </w:tabs>
      </w:pPr>
      <w:r>
        <w:rPr>
          <w:color w:val="auto"/>
        </w:rPr>
        <w:fldChar w:fldCharType="begin"/>
      </w:r>
      <w:r>
        <w:instrText xml:space="preserve"> HYPERLINK \l _Toc23043 </w:instrText>
      </w:r>
      <w:r>
        <w:fldChar w:fldCharType="separate"/>
      </w:r>
      <w:r>
        <w:rPr>
          <w:rFonts w:hint="eastAsia" w:ascii="黑体" w:eastAsia="黑体"/>
          <w:i w:val="0"/>
          <w:szCs w:val="21"/>
        </w:rPr>
        <w:t xml:space="preserve">5.1.3 </w:t>
      </w:r>
      <w:r>
        <w:rPr>
          <w:rFonts w:hint="eastAsia"/>
          <w:szCs w:val="21"/>
        </w:rPr>
        <w:t>组织机构</w:t>
      </w:r>
      <w:r>
        <w:tab/>
      </w:r>
      <w:r>
        <w:fldChar w:fldCharType="begin"/>
      </w:r>
      <w:r>
        <w:instrText xml:space="preserve"> PAGEREF _Toc23043 \h </w:instrText>
      </w:r>
      <w:r>
        <w:fldChar w:fldCharType="separate"/>
      </w:r>
      <w:r>
        <w:t>6</w:t>
      </w:r>
      <w:r>
        <w:fldChar w:fldCharType="end"/>
      </w:r>
      <w:r>
        <w:rPr>
          <w:color w:val="auto"/>
        </w:rPr>
        <w:fldChar w:fldCharType="end"/>
      </w:r>
    </w:p>
    <w:p w14:paraId="64F281BC">
      <w:pPr>
        <w:pStyle w:val="19"/>
        <w:tabs>
          <w:tab w:val="right" w:leader="dot" w:pos="9354"/>
        </w:tabs>
      </w:pPr>
      <w:r>
        <w:rPr>
          <w:color w:val="auto"/>
        </w:rPr>
        <w:fldChar w:fldCharType="begin"/>
      </w:r>
      <w:r>
        <w:instrText xml:space="preserve"> HYPERLINK \l _Toc12420 </w:instrText>
      </w:r>
      <w:r>
        <w:fldChar w:fldCharType="separate"/>
      </w:r>
      <w:r>
        <w:rPr>
          <w:rFonts w:hint="eastAsia" w:ascii="黑体" w:eastAsia="黑体"/>
          <w:i w:val="0"/>
          <w:szCs w:val="21"/>
        </w:rPr>
        <w:t xml:space="preserve">5.1.4 </w:t>
      </w:r>
      <w:r>
        <w:rPr>
          <w:rFonts w:hint="eastAsia"/>
          <w:szCs w:val="21"/>
        </w:rPr>
        <w:t>安全生产投入保障</w:t>
      </w:r>
      <w:r>
        <w:tab/>
      </w:r>
      <w:r>
        <w:fldChar w:fldCharType="begin"/>
      </w:r>
      <w:r>
        <w:instrText xml:space="preserve"> PAGEREF _Toc12420 \h </w:instrText>
      </w:r>
      <w:r>
        <w:fldChar w:fldCharType="separate"/>
      </w:r>
      <w:r>
        <w:t>6</w:t>
      </w:r>
      <w:r>
        <w:fldChar w:fldCharType="end"/>
      </w:r>
      <w:r>
        <w:rPr>
          <w:color w:val="auto"/>
        </w:rPr>
        <w:fldChar w:fldCharType="end"/>
      </w:r>
    </w:p>
    <w:p w14:paraId="431CA74B">
      <w:pPr>
        <w:pStyle w:val="19"/>
        <w:tabs>
          <w:tab w:val="right" w:leader="dot" w:pos="9354"/>
        </w:tabs>
      </w:pPr>
      <w:r>
        <w:rPr>
          <w:color w:val="auto"/>
        </w:rPr>
        <w:fldChar w:fldCharType="begin"/>
      </w:r>
      <w:r>
        <w:instrText xml:space="preserve"> HYPERLINK \l _Toc19110 </w:instrText>
      </w:r>
      <w:r>
        <w:fldChar w:fldCharType="separate"/>
      </w:r>
      <w:r>
        <w:rPr>
          <w:rFonts w:hint="eastAsia" w:ascii="黑体" w:eastAsia="黑体"/>
          <w:i w:val="0"/>
          <w:szCs w:val="21"/>
        </w:rPr>
        <w:t xml:space="preserve">5.1.5 </w:t>
      </w:r>
      <w:r>
        <w:rPr>
          <w:rFonts w:hint="eastAsia"/>
          <w:szCs w:val="21"/>
        </w:rPr>
        <w:t>安全文化建设</w:t>
      </w:r>
      <w:r>
        <w:tab/>
      </w:r>
      <w:r>
        <w:fldChar w:fldCharType="begin"/>
      </w:r>
      <w:r>
        <w:instrText xml:space="preserve"> PAGEREF _Toc19110 \h </w:instrText>
      </w:r>
      <w:r>
        <w:fldChar w:fldCharType="separate"/>
      </w:r>
      <w:r>
        <w:t>6</w:t>
      </w:r>
      <w:r>
        <w:fldChar w:fldCharType="end"/>
      </w:r>
      <w:r>
        <w:rPr>
          <w:color w:val="auto"/>
        </w:rPr>
        <w:fldChar w:fldCharType="end"/>
      </w:r>
    </w:p>
    <w:p w14:paraId="28DB14F0">
      <w:pPr>
        <w:pStyle w:val="19"/>
        <w:tabs>
          <w:tab w:val="right" w:leader="dot" w:pos="9354"/>
        </w:tabs>
      </w:pPr>
      <w:r>
        <w:rPr>
          <w:color w:val="auto"/>
        </w:rPr>
        <w:fldChar w:fldCharType="begin"/>
      </w:r>
      <w:r>
        <w:instrText xml:space="preserve"> HYPERLINK \l _Toc27200 </w:instrText>
      </w:r>
      <w:r>
        <w:fldChar w:fldCharType="separate"/>
      </w:r>
      <w:r>
        <w:rPr>
          <w:rFonts w:hint="eastAsia" w:ascii="黑体" w:eastAsia="黑体"/>
          <w:i w:val="0"/>
          <w:szCs w:val="21"/>
        </w:rPr>
        <w:t xml:space="preserve">5.1.6 </w:t>
      </w:r>
      <w:r>
        <w:rPr>
          <w:rFonts w:hint="eastAsia"/>
          <w:szCs w:val="21"/>
          <w:highlight w:val="none"/>
        </w:rPr>
        <w:t>有感领导</w:t>
      </w:r>
      <w:r>
        <w:tab/>
      </w:r>
      <w:r>
        <w:fldChar w:fldCharType="begin"/>
      </w:r>
      <w:r>
        <w:instrText xml:space="preserve"> PAGEREF _Toc27200 \h </w:instrText>
      </w:r>
      <w:r>
        <w:fldChar w:fldCharType="separate"/>
      </w:r>
      <w:r>
        <w:t>6</w:t>
      </w:r>
      <w:r>
        <w:fldChar w:fldCharType="end"/>
      </w:r>
      <w:r>
        <w:rPr>
          <w:color w:val="auto"/>
        </w:rPr>
        <w:fldChar w:fldCharType="end"/>
      </w:r>
    </w:p>
    <w:p w14:paraId="783834A0">
      <w:pPr>
        <w:pStyle w:val="28"/>
        <w:tabs>
          <w:tab w:val="right" w:leader="dot" w:pos="9354"/>
          <w:tab w:val="clear" w:pos="9344"/>
        </w:tabs>
      </w:pPr>
      <w:r>
        <w:rPr>
          <w:color w:val="auto"/>
        </w:rPr>
        <w:fldChar w:fldCharType="begin"/>
      </w:r>
      <w:r>
        <w:instrText xml:space="preserve"> HYPERLINK \l _Toc11425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rPr>
        <w:t xml:space="preserve">5.2 </w:t>
      </w:r>
      <w:r>
        <w:rPr>
          <w:rFonts w:hint="eastAsia"/>
          <w:szCs w:val="21"/>
        </w:rPr>
        <w:t>安全生产责任制</w:t>
      </w:r>
      <w:r>
        <w:tab/>
      </w:r>
      <w:r>
        <w:fldChar w:fldCharType="begin"/>
      </w:r>
      <w:r>
        <w:instrText xml:space="preserve"> PAGEREF _Toc11425 \h </w:instrText>
      </w:r>
      <w:r>
        <w:fldChar w:fldCharType="separate"/>
      </w:r>
      <w:r>
        <w:t>7</w:t>
      </w:r>
      <w:r>
        <w:fldChar w:fldCharType="end"/>
      </w:r>
      <w:r>
        <w:rPr>
          <w:color w:val="auto"/>
        </w:rPr>
        <w:fldChar w:fldCharType="end"/>
      </w:r>
    </w:p>
    <w:p w14:paraId="1DE08393">
      <w:pPr>
        <w:pStyle w:val="19"/>
        <w:tabs>
          <w:tab w:val="right" w:leader="dot" w:pos="9354"/>
        </w:tabs>
      </w:pPr>
      <w:r>
        <w:rPr>
          <w:color w:val="auto"/>
        </w:rPr>
        <w:fldChar w:fldCharType="begin"/>
      </w:r>
      <w:r>
        <w:instrText xml:space="preserve"> HYPERLINK \l _Toc103 </w:instrText>
      </w:r>
      <w:r>
        <w:fldChar w:fldCharType="separate"/>
      </w:r>
      <w:r>
        <w:rPr>
          <w:rFonts w:hint="eastAsia" w:ascii="黑体" w:eastAsia="黑体"/>
          <w:i w:val="0"/>
          <w:szCs w:val="21"/>
        </w:rPr>
        <w:t xml:space="preserve">5.2.1 </w:t>
      </w:r>
      <w:r>
        <w:rPr>
          <w:rFonts w:hint="eastAsia"/>
          <w:szCs w:val="21"/>
        </w:rPr>
        <w:t>全员安全生产责任制</w:t>
      </w:r>
      <w:r>
        <w:tab/>
      </w:r>
      <w:r>
        <w:fldChar w:fldCharType="begin"/>
      </w:r>
      <w:r>
        <w:instrText xml:space="preserve"> PAGEREF _Toc103 \h </w:instrText>
      </w:r>
      <w:r>
        <w:fldChar w:fldCharType="separate"/>
      </w:r>
      <w:r>
        <w:t>7</w:t>
      </w:r>
      <w:r>
        <w:fldChar w:fldCharType="end"/>
      </w:r>
      <w:r>
        <w:rPr>
          <w:color w:val="auto"/>
        </w:rPr>
        <w:fldChar w:fldCharType="end"/>
      </w:r>
    </w:p>
    <w:p w14:paraId="3124F09F">
      <w:pPr>
        <w:pStyle w:val="19"/>
        <w:tabs>
          <w:tab w:val="right" w:leader="dot" w:pos="9354"/>
        </w:tabs>
      </w:pPr>
      <w:r>
        <w:rPr>
          <w:color w:val="auto"/>
        </w:rPr>
        <w:fldChar w:fldCharType="begin"/>
      </w:r>
      <w:r>
        <w:instrText xml:space="preserve"> HYPERLINK \l _Toc30983 </w:instrText>
      </w:r>
      <w:r>
        <w:fldChar w:fldCharType="separate"/>
      </w:r>
      <w:r>
        <w:rPr>
          <w:rFonts w:hint="eastAsia" w:ascii="黑体" w:eastAsia="黑体"/>
          <w:i w:val="0"/>
          <w:szCs w:val="21"/>
        </w:rPr>
        <w:t xml:space="preserve">5.2.2 </w:t>
      </w:r>
      <w:r>
        <w:rPr>
          <w:rFonts w:hint="eastAsia"/>
          <w:szCs w:val="21"/>
        </w:rPr>
        <w:t>审批与</w:t>
      </w:r>
      <w:r>
        <w:rPr>
          <w:rFonts w:hint="eastAsia"/>
          <w:szCs w:val="21"/>
          <w:highlight w:val="none"/>
        </w:rPr>
        <w:t>实施</w:t>
      </w:r>
      <w:r>
        <w:tab/>
      </w:r>
      <w:r>
        <w:fldChar w:fldCharType="begin"/>
      </w:r>
      <w:r>
        <w:instrText xml:space="preserve"> PAGEREF _Toc30983 \h </w:instrText>
      </w:r>
      <w:r>
        <w:fldChar w:fldCharType="separate"/>
      </w:r>
      <w:r>
        <w:t>7</w:t>
      </w:r>
      <w:r>
        <w:fldChar w:fldCharType="end"/>
      </w:r>
      <w:r>
        <w:rPr>
          <w:color w:val="auto"/>
        </w:rPr>
        <w:fldChar w:fldCharType="end"/>
      </w:r>
    </w:p>
    <w:p w14:paraId="4B3DCF40">
      <w:pPr>
        <w:pStyle w:val="19"/>
        <w:tabs>
          <w:tab w:val="right" w:leader="dot" w:pos="9354"/>
        </w:tabs>
      </w:pPr>
      <w:r>
        <w:rPr>
          <w:color w:val="auto"/>
        </w:rPr>
        <w:fldChar w:fldCharType="begin"/>
      </w:r>
      <w:r>
        <w:instrText xml:space="preserve"> HYPERLINK \l _Toc9532 </w:instrText>
      </w:r>
      <w:r>
        <w:fldChar w:fldCharType="separate"/>
      </w:r>
      <w:r>
        <w:rPr>
          <w:rFonts w:hint="eastAsia" w:ascii="黑体" w:eastAsia="黑体"/>
          <w:i w:val="0"/>
          <w:szCs w:val="21"/>
        </w:rPr>
        <w:t xml:space="preserve">5.2.3 </w:t>
      </w:r>
      <w:r>
        <w:rPr>
          <w:rFonts w:hint="eastAsia"/>
          <w:szCs w:val="21"/>
          <w:highlight w:val="none"/>
        </w:rPr>
        <w:t>检查与</w:t>
      </w:r>
      <w:r>
        <w:rPr>
          <w:rFonts w:hint="default"/>
          <w:szCs w:val="21"/>
          <w:highlight w:val="none"/>
        </w:rPr>
        <w:t>考核</w:t>
      </w:r>
      <w:r>
        <w:tab/>
      </w:r>
      <w:r>
        <w:fldChar w:fldCharType="begin"/>
      </w:r>
      <w:r>
        <w:instrText xml:space="preserve"> PAGEREF _Toc9532 \h </w:instrText>
      </w:r>
      <w:r>
        <w:fldChar w:fldCharType="separate"/>
      </w:r>
      <w:r>
        <w:t>7</w:t>
      </w:r>
      <w:r>
        <w:fldChar w:fldCharType="end"/>
      </w:r>
      <w:r>
        <w:rPr>
          <w:color w:val="auto"/>
        </w:rPr>
        <w:fldChar w:fldCharType="end"/>
      </w:r>
    </w:p>
    <w:p w14:paraId="074CB8B9">
      <w:pPr>
        <w:pStyle w:val="19"/>
        <w:tabs>
          <w:tab w:val="right" w:leader="dot" w:pos="9354"/>
        </w:tabs>
      </w:pPr>
      <w:r>
        <w:rPr>
          <w:color w:val="auto"/>
        </w:rPr>
        <w:fldChar w:fldCharType="begin"/>
      </w:r>
      <w:r>
        <w:instrText xml:space="preserve"> HYPERLINK \l _Toc18575 </w:instrText>
      </w:r>
      <w:r>
        <w:fldChar w:fldCharType="separate"/>
      </w:r>
      <w:r>
        <w:rPr>
          <w:rFonts w:hint="eastAsia" w:ascii="黑体" w:eastAsia="黑体"/>
          <w:i w:val="0"/>
          <w:szCs w:val="21"/>
        </w:rPr>
        <w:t xml:space="preserve">5.2.4 </w:t>
      </w:r>
      <w:r>
        <w:rPr>
          <w:rFonts w:hint="eastAsia"/>
          <w:szCs w:val="21"/>
          <w:highlight w:val="none"/>
          <w:lang w:val="en-US" w:eastAsia="zh-CN"/>
        </w:rPr>
        <w:t>持续完善</w:t>
      </w:r>
      <w:r>
        <w:tab/>
      </w:r>
      <w:r>
        <w:fldChar w:fldCharType="begin"/>
      </w:r>
      <w:r>
        <w:instrText xml:space="preserve"> PAGEREF _Toc18575 \h </w:instrText>
      </w:r>
      <w:r>
        <w:fldChar w:fldCharType="separate"/>
      </w:r>
      <w:r>
        <w:t>7</w:t>
      </w:r>
      <w:r>
        <w:fldChar w:fldCharType="end"/>
      </w:r>
      <w:r>
        <w:rPr>
          <w:color w:val="auto"/>
        </w:rPr>
        <w:fldChar w:fldCharType="end"/>
      </w:r>
    </w:p>
    <w:p w14:paraId="37E13E39">
      <w:pPr>
        <w:pStyle w:val="28"/>
        <w:tabs>
          <w:tab w:val="right" w:leader="dot" w:pos="9354"/>
          <w:tab w:val="clear" w:pos="9344"/>
        </w:tabs>
      </w:pPr>
      <w:r>
        <w:rPr>
          <w:color w:val="auto"/>
        </w:rPr>
        <w:fldChar w:fldCharType="begin"/>
      </w:r>
      <w:r>
        <w:instrText xml:space="preserve"> HYPERLINK \l _Toc26672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rPr>
        <w:t xml:space="preserve">5.3 </w:t>
      </w:r>
      <w:r>
        <w:rPr>
          <w:rFonts w:hint="eastAsia"/>
          <w:szCs w:val="21"/>
        </w:rPr>
        <w:t>安全生产信息与合规管理</w:t>
      </w:r>
      <w:r>
        <w:tab/>
      </w:r>
      <w:r>
        <w:fldChar w:fldCharType="begin"/>
      </w:r>
      <w:r>
        <w:instrText xml:space="preserve"> PAGEREF _Toc26672 \h </w:instrText>
      </w:r>
      <w:r>
        <w:fldChar w:fldCharType="separate"/>
      </w:r>
      <w:r>
        <w:t>7</w:t>
      </w:r>
      <w:r>
        <w:fldChar w:fldCharType="end"/>
      </w:r>
      <w:r>
        <w:rPr>
          <w:color w:val="auto"/>
        </w:rPr>
        <w:fldChar w:fldCharType="end"/>
      </w:r>
    </w:p>
    <w:p w14:paraId="5166A31B">
      <w:pPr>
        <w:pStyle w:val="19"/>
        <w:tabs>
          <w:tab w:val="right" w:leader="dot" w:pos="9354"/>
        </w:tabs>
      </w:pPr>
      <w:r>
        <w:rPr>
          <w:color w:val="auto"/>
        </w:rPr>
        <w:fldChar w:fldCharType="begin"/>
      </w:r>
      <w:r>
        <w:instrText xml:space="preserve"> HYPERLINK \l _Toc10284 </w:instrText>
      </w:r>
      <w:r>
        <w:fldChar w:fldCharType="separate"/>
      </w:r>
      <w:r>
        <w:rPr>
          <w:rFonts w:hint="eastAsia" w:ascii="黑体" w:eastAsia="黑体"/>
          <w:i w:val="0"/>
          <w:szCs w:val="21"/>
        </w:rPr>
        <w:t xml:space="preserve">5.3.1 </w:t>
      </w:r>
      <w:r>
        <w:rPr>
          <w:rFonts w:hint="eastAsia"/>
          <w:szCs w:val="21"/>
        </w:rPr>
        <w:t>安全生产信息分类</w:t>
      </w:r>
      <w:r>
        <w:tab/>
      </w:r>
      <w:r>
        <w:fldChar w:fldCharType="begin"/>
      </w:r>
      <w:r>
        <w:instrText xml:space="preserve"> PAGEREF _Toc10284 \h </w:instrText>
      </w:r>
      <w:r>
        <w:fldChar w:fldCharType="separate"/>
      </w:r>
      <w:r>
        <w:t>7</w:t>
      </w:r>
      <w:r>
        <w:fldChar w:fldCharType="end"/>
      </w:r>
      <w:r>
        <w:rPr>
          <w:color w:val="auto"/>
        </w:rPr>
        <w:fldChar w:fldCharType="end"/>
      </w:r>
    </w:p>
    <w:p w14:paraId="1EF00005">
      <w:pPr>
        <w:pStyle w:val="19"/>
        <w:tabs>
          <w:tab w:val="right" w:leader="dot" w:pos="9354"/>
        </w:tabs>
      </w:pPr>
      <w:r>
        <w:rPr>
          <w:color w:val="auto"/>
        </w:rPr>
        <w:fldChar w:fldCharType="begin"/>
      </w:r>
      <w:r>
        <w:instrText xml:space="preserve"> HYPERLINK \l _Toc6285 </w:instrText>
      </w:r>
      <w:r>
        <w:fldChar w:fldCharType="separate"/>
      </w:r>
      <w:r>
        <w:rPr>
          <w:rFonts w:hint="eastAsia" w:ascii="黑体" w:eastAsia="黑体"/>
          <w:i w:val="0"/>
          <w:szCs w:val="21"/>
        </w:rPr>
        <w:t xml:space="preserve">5.3.2 </w:t>
      </w:r>
      <w:r>
        <w:rPr>
          <w:rFonts w:hint="eastAsia"/>
          <w:szCs w:val="21"/>
        </w:rPr>
        <w:t>安全生产信息识别、收集</w:t>
      </w:r>
      <w:r>
        <w:tab/>
      </w:r>
      <w:r>
        <w:fldChar w:fldCharType="begin"/>
      </w:r>
      <w:r>
        <w:instrText xml:space="preserve"> PAGEREF _Toc6285 \h </w:instrText>
      </w:r>
      <w:r>
        <w:fldChar w:fldCharType="separate"/>
      </w:r>
      <w:r>
        <w:t>7</w:t>
      </w:r>
      <w:r>
        <w:fldChar w:fldCharType="end"/>
      </w:r>
      <w:r>
        <w:rPr>
          <w:color w:val="auto"/>
        </w:rPr>
        <w:fldChar w:fldCharType="end"/>
      </w:r>
    </w:p>
    <w:p w14:paraId="69601246">
      <w:pPr>
        <w:pStyle w:val="19"/>
        <w:tabs>
          <w:tab w:val="right" w:leader="dot" w:pos="9354"/>
        </w:tabs>
      </w:pPr>
      <w:r>
        <w:rPr>
          <w:color w:val="auto"/>
        </w:rPr>
        <w:fldChar w:fldCharType="begin"/>
      </w:r>
      <w:r>
        <w:instrText xml:space="preserve"> HYPERLINK \l _Toc20382 </w:instrText>
      </w:r>
      <w:r>
        <w:fldChar w:fldCharType="separate"/>
      </w:r>
      <w:r>
        <w:rPr>
          <w:rFonts w:hint="eastAsia" w:ascii="黑体" w:eastAsia="黑体"/>
          <w:i w:val="0"/>
          <w:szCs w:val="21"/>
        </w:rPr>
        <w:t xml:space="preserve">5.3.3 </w:t>
      </w:r>
      <w:r>
        <w:rPr>
          <w:rFonts w:hint="eastAsia"/>
          <w:szCs w:val="21"/>
        </w:rPr>
        <w:t>法律、法规和标准识别获取</w:t>
      </w:r>
      <w:r>
        <w:tab/>
      </w:r>
      <w:r>
        <w:fldChar w:fldCharType="begin"/>
      </w:r>
      <w:r>
        <w:instrText xml:space="preserve"> PAGEREF _Toc20382 \h </w:instrText>
      </w:r>
      <w:r>
        <w:fldChar w:fldCharType="separate"/>
      </w:r>
      <w:r>
        <w:t>7</w:t>
      </w:r>
      <w:r>
        <w:fldChar w:fldCharType="end"/>
      </w:r>
      <w:r>
        <w:rPr>
          <w:color w:val="auto"/>
        </w:rPr>
        <w:fldChar w:fldCharType="end"/>
      </w:r>
    </w:p>
    <w:p w14:paraId="66E4B995">
      <w:pPr>
        <w:pStyle w:val="19"/>
        <w:tabs>
          <w:tab w:val="right" w:leader="dot" w:pos="9354"/>
        </w:tabs>
      </w:pPr>
      <w:r>
        <w:rPr>
          <w:color w:val="auto"/>
        </w:rPr>
        <w:fldChar w:fldCharType="begin"/>
      </w:r>
      <w:r>
        <w:instrText xml:space="preserve"> HYPERLINK \l _Toc1603 </w:instrText>
      </w:r>
      <w:r>
        <w:fldChar w:fldCharType="separate"/>
      </w:r>
      <w:r>
        <w:rPr>
          <w:rFonts w:hint="eastAsia" w:ascii="黑体" w:eastAsia="黑体"/>
          <w:i w:val="0"/>
          <w:szCs w:val="21"/>
        </w:rPr>
        <w:t xml:space="preserve">5.3.4 </w:t>
      </w:r>
      <w:r>
        <w:rPr>
          <w:rFonts w:hint="eastAsia"/>
          <w:szCs w:val="21"/>
        </w:rPr>
        <w:t>安全生产规章制度</w:t>
      </w:r>
      <w:r>
        <w:tab/>
      </w:r>
      <w:r>
        <w:fldChar w:fldCharType="begin"/>
      </w:r>
      <w:r>
        <w:instrText xml:space="preserve"> PAGEREF _Toc1603 \h </w:instrText>
      </w:r>
      <w:r>
        <w:fldChar w:fldCharType="separate"/>
      </w:r>
      <w:r>
        <w:t>8</w:t>
      </w:r>
      <w:r>
        <w:fldChar w:fldCharType="end"/>
      </w:r>
      <w:r>
        <w:rPr>
          <w:color w:val="auto"/>
        </w:rPr>
        <w:fldChar w:fldCharType="end"/>
      </w:r>
    </w:p>
    <w:p w14:paraId="209AA396">
      <w:pPr>
        <w:pStyle w:val="19"/>
        <w:tabs>
          <w:tab w:val="right" w:leader="dot" w:pos="9354"/>
        </w:tabs>
      </w:pPr>
      <w:r>
        <w:rPr>
          <w:color w:val="auto"/>
        </w:rPr>
        <w:fldChar w:fldCharType="begin"/>
      </w:r>
      <w:r>
        <w:instrText xml:space="preserve"> HYPERLINK \l _Toc12666 </w:instrText>
      </w:r>
      <w:r>
        <w:fldChar w:fldCharType="separate"/>
      </w:r>
      <w:r>
        <w:rPr>
          <w:rFonts w:hint="eastAsia" w:ascii="黑体" w:eastAsia="黑体"/>
          <w:i w:val="0"/>
          <w:szCs w:val="21"/>
        </w:rPr>
        <w:t xml:space="preserve">5.3.5 </w:t>
      </w:r>
      <w:r>
        <w:rPr>
          <w:rFonts w:hint="eastAsia"/>
          <w:szCs w:val="21"/>
        </w:rPr>
        <w:t>合规审核</w:t>
      </w:r>
      <w:r>
        <w:tab/>
      </w:r>
      <w:r>
        <w:fldChar w:fldCharType="begin"/>
      </w:r>
      <w:r>
        <w:instrText xml:space="preserve"> PAGEREF _Toc12666 \h </w:instrText>
      </w:r>
      <w:r>
        <w:fldChar w:fldCharType="separate"/>
      </w:r>
      <w:r>
        <w:t>8</w:t>
      </w:r>
      <w:r>
        <w:fldChar w:fldCharType="end"/>
      </w:r>
      <w:r>
        <w:rPr>
          <w:color w:val="auto"/>
        </w:rPr>
        <w:fldChar w:fldCharType="end"/>
      </w:r>
    </w:p>
    <w:p w14:paraId="684F876D">
      <w:pPr>
        <w:pStyle w:val="28"/>
        <w:tabs>
          <w:tab w:val="right" w:leader="dot" w:pos="9354"/>
          <w:tab w:val="clear" w:pos="9344"/>
        </w:tabs>
      </w:pPr>
      <w:r>
        <w:rPr>
          <w:color w:val="auto"/>
        </w:rPr>
        <w:fldChar w:fldCharType="begin"/>
      </w:r>
      <w:r>
        <w:instrText xml:space="preserve"> HYPERLINK \l _Toc23125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rPr>
        <w:t xml:space="preserve">5.4 </w:t>
      </w:r>
      <w:r>
        <w:rPr>
          <w:rFonts w:hint="eastAsia"/>
          <w:szCs w:val="21"/>
        </w:rPr>
        <w:t>安全教育培训</w:t>
      </w:r>
      <w:r>
        <w:tab/>
      </w:r>
      <w:r>
        <w:fldChar w:fldCharType="begin"/>
      </w:r>
      <w:r>
        <w:instrText xml:space="preserve"> PAGEREF _Toc23125 \h </w:instrText>
      </w:r>
      <w:r>
        <w:fldChar w:fldCharType="separate"/>
      </w:r>
      <w:r>
        <w:t>8</w:t>
      </w:r>
      <w:r>
        <w:fldChar w:fldCharType="end"/>
      </w:r>
      <w:r>
        <w:rPr>
          <w:color w:val="auto"/>
        </w:rPr>
        <w:fldChar w:fldCharType="end"/>
      </w:r>
    </w:p>
    <w:p w14:paraId="7DCF03D7">
      <w:pPr>
        <w:pStyle w:val="19"/>
        <w:tabs>
          <w:tab w:val="right" w:leader="dot" w:pos="9354"/>
        </w:tabs>
      </w:pPr>
      <w:r>
        <w:rPr>
          <w:color w:val="auto"/>
        </w:rPr>
        <w:fldChar w:fldCharType="begin"/>
      </w:r>
      <w:r>
        <w:instrText xml:space="preserve"> HYPERLINK \l _Toc22643 </w:instrText>
      </w:r>
      <w:r>
        <w:fldChar w:fldCharType="separate"/>
      </w:r>
      <w:r>
        <w:rPr>
          <w:rFonts w:hint="eastAsia" w:ascii="黑体" w:eastAsia="黑体"/>
          <w:i w:val="0"/>
          <w:szCs w:val="21"/>
        </w:rPr>
        <w:t xml:space="preserve">5.4.1 </w:t>
      </w:r>
      <w:r>
        <w:rPr>
          <w:rFonts w:hint="eastAsia"/>
          <w:szCs w:val="21"/>
        </w:rPr>
        <w:t>教育培训管理</w:t>
      </w:r>
      <w:r>
        <w:tab/>
      </w:r>
      <w:r>
        <w:fldChar w:fldCharType="begin"/>
      </w:r>
      <w:r>
        <w:instrText xml:space="preserve"> PAGEREF _Toc22643 \h </w:instrText>
      </w:r>
      <w:r>
        <w:fldChar w:fldCharType="separate"/>
      </w:r>
      <w:r>
        <w:t>8</w:t>
      </w:r>
      <w:r>
        <w:fldChar w:fldCharType="end"/>
      </w:r>
      <w:r>
        <w:rPr>
          <w:color w:val="auto"/>
        </w:rPr>
        <w:fldChar w:fldCharType="end"/>
      </w:r>
    </w:p>
    <w:p w14:paraId="1E47E181">
      <w:pPr>
        <w:pStyle w:val="19"/>
        <w:tabs>
          <w:tab w:val="right" w:leader="dot" w:pos="9354"/>
        </w:tabs>
      </w:pPr>
      <w:r>
        <w:rPr>
          <w:color w:val="auto"/>
        </w:rPr>
        <w:fldChar w:fldCharType="begin"/>
      </w:r>
      <w:r>
        <w:instrText xml:space="preserve"> HYPERLINK \l _Toc19322 </w:instrText>
      </w:r>
      <w:r>
        <w:fldChar w:fldCharType="separate"/>
      </w:r>
      <w:r>
        <w:rPr>
          <w:rFonts w:hint="eastAsia" w:ascii="黑体" w:eastAsia="黑体"/>
          <w:i w:val="0"/>
          <w:szCs w:val="21"/>
        </w:rPr>
        <w:t xml:space="preserve">5.4.2 </w:t>
      </w:r>
      <w:r>
        <w:rPr>
          <w:rFonts w:hint="eastAsia"/>
          <w:szCs w:val="21"/>
        </w:rPr>
        <w:t>岗位能力标准</w:t>
      </w:r>
      <w:r>
        <w:tab/>
      </w:r>
      <w:r>
        <w:fldChar w:fldCharType="begin"/>
      </w:r>
      <w:r>
        <w:instrText xml:space="preserve"> PAGEREF _Toc19322 \h </w:instrText>
      </w:r>
      <w:r>
        <w:fldChar w:fldCharType="separate"/>
      </w:r>
      <w:r>
        <w:t>8</w:t>
      </w:r>
      <w:r>
        <w:fldChar w:fldCharType="end"/>
      </w:r>
      <w:r>
        <w:rPr>
          <w:color w:val="auto"/>
        </w:rPr>
        <w:fldChar w:fldCharType="end"/>
      </w:r>
    </w:p>
    <w:p w14:paraId="57B9B1B0">
      <w:pPr>
        <w:pStyle w:val="19"/>
        <w:tabs>
          <w:tab w:val="right" w:leader="dot" w:pos="9354"/>
        </w:tabs>
      </w:pPr>
      <w:r>
        <w:rPr>
          <w:color w:val="auto"/>
        </w:rPr>
        <w:fldChar w:fldCharType="begin"/>
      </w:r>
      <w:r>
        <w:instrText xml:space="preserve"> HYPERLINK \l _Toc25583 </w:instrText>
      </w:r>
      <w:r>
        <w:fldChar w:fldCharType="separate"/>
      </w:r>
      <w:r>
        <w:rPr>
          <w:rFonts w:hint="eastAsia" w:ascii="黑体" w:eastAsia="黑体"/>
          <w:i w:val="0"/>
          <w:szCs w:val="21"/>
        </w:rPr>
        <w:t xml:space="preserve">5.4.3 </w:t>
      </w:r>
      <w:r>
        <w:rPr>
          <w:rFonts w:hint="eastAsia"/>
          <w:szCs w:val="21"/>
        </w:rPr>
        <w:t>从业人员教育培训</w:t>
      </w:r>
      <w:r>
        <w:tab/>
      </w:r>
      <w:r>
        <w:fldChar w:fldCharType="begin"/>
      </w:r>
      <w:r>
        <w:instrText xml:space="preserve"> PAGEREF _Toc25583 \h </w:instrText>
      </w:r>
      <w:r>
        <w:fldChar w:fldCharType="separate"/>
      </w:r>
      <w:r>
        <w:t>8</w:t>
      </w:r>
      <w:r>
        <w:fldChar w:fldCharType="end"/>
      </w:r>
      <w:r>
        <w:rPr>
          <w:color w:val="auto"/>
        </w:rPr>
        <w:fldChar w:fldCharType="end"/>
      </w:r>
    </w:p>
    <w:p w14:paraId="03BA79D1">
      <w:pPr>
        <w:pStyle w:val="19"/>
        <w:tabs>
          <w:tab w:val="right" w:leader="dot" w:pos="9354"/>
        </w:tabs>
      </w:pPr>
      <w:r>
        <w:rPr>
          <w:color w:val="auto"/>
        </w:rPr>
        <w:fldChar w:fldCharType="begin"/>
      </w:r>
      <w:r>
        <w:instrText xml:space="preserve"> HYPERLINK \l _Toc22760 </w:instrText>
      </w:r>
      <w:r>
        <w:fldChar w:fldCharType="separate"/>
      </w:r>
      <w:r>
        <w:rPr>
          <w:rFonts w:hint="eastAsia" w:ascii="黑体" w:eastAsia="黑体"/>
          <w:i w:val="0"/>
          <w:szCs w:val="21"/>
        </w:rPr>
        <w:t xml:space="preserve">5.4.4 </w:t>
      </w:r>
      <w:r>
        <w:rPr>
          <w:rFonts w:hint="eastAsia"/>
          <w:szCs w:val="21"/>
        </w:rPr>
        <w:t>外来人员教育培训</w:t>
      </w:r>
      <w:r>
        <w:tab/>
      </w:r>
      <w:r>
        <w:fldChar w:fldCharType="begin"/>
      </w:r>
      <w:r>
        <w:instrText xml:space="preserve"> PAGEREF _Toc22760 \h </w:instrText>
      </w:r>
      <w:r>
        <w:fldChar w:fldCharType="separate"/>
      </w:r>
      <w:r>
        <w:t>9</w:t>
      </w:r>
      <w:r>
        <w:fldChar w:fldCharType="end"/>
      </w:r>
      <w:r>
        <w:rPr>
          <w:color w:val="auto"/>
        </w:rPr>
        <w:fldChar w:fldCharType="end"/>
      </w:r>
    </w:p>
    <w:p w14:paraId="634A3976">
      <w:pPr>
        <w:pStyle w:val="19"/>
        <w:tabs>
          <w:tab w:val="right" w:leader="dot" w:pos="9354"/>
        </w:tabs>
      </w:pPr>
      <w:r>
        <w:rPr>
          <w:color w:val="auto"/>
        </w:rPr>
        <w:fldChar w:fldCharType="begin"/>
      </w:r>
      <w:r>
        <w:instrText xml:space="preserve"> HYPERLINK \l _Toc17955 </w:instrText>
      </w:r>
      <w:r>
        <w:fldChar w:fldCharType="separate"/>
      </w:r>
      <w:r>
        <w:rPr>
          <w:rFonts w:hint="eastAsia" w:ascii="黑体" w:eastAsia="黑体"/>
          <w:i w:val="0"/>
          <w:szCs w:val="21"/>
        </w:rPr>
        <w:t xml:space="preserve">5.4.5 </w:t>
      </w:r>
      <w:r>
        <w:rPr>
          <w:rFonts w:hint="eastAsia"/>
          <w:szCs w:val="21"/>
        </w:rPr>
        <w:t>培训考核与评估提升</w:t>
      </w:r>
      <w:r>
        <w:tab/>
      </w:r>
      <w:r>
        <w:fldChar w:fldCharType="begin"/>
      </w:r>
      <w:r>
        <w:instrText xml:space="preserve"> PAGEREF _Toc17955 \h </w:instrText>
      </w:r>
      <w:r>
        <w:fldChar w:fldCharType="separate"/>
      </w:r>
      <w:r>
        <w:t>9</w:t>
      </w:r>
      <w:r>
        <w:fldChar w:fldCharType="end"/>
      </w:r>
      <w:r>
        <w:rPr>
          <w:color w:val="auto"/>
        </w:rPr>
        <w:fldChar w:fldCharType="end"/>
      </w:r>
    </w:p>
    <w:p w14:paraId="369BC331">
      <w:pPr>
        <w:pStyle w:val="28"/>
        <w:tabs>
          <w:tab w:val="right" w:leader="dot" w:pos="9354"/>
          <w:tab w:val="clear" w:pos="9344"/>
        </w:tabs>
      </w:pPr>
      <w:r>
        <w:rPr>
          <w:color w:val="auto"/>
        </w:rPr>
        <w:fldChar w:fldCharType="begin"/>
      </w:r>
      <w:r>
        <w:instrText xml:space="preserve"> HYPERLINK \l _Toc17516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rPr>
        <w:t xml:space="preserve">5.5 </w:t>
      </w:r>
      <w:r>
        <w:rPr>
          <w:rFonts w:hint="eastAsia"/>
          <w:szCs w:val="21"/>
          <w:highlight w:val="none"/>
        </w:rPr>
        <w:t>风险管理与双重预防机制建设</w:t>
      </w:r>
      <w:r>
        <w:tab/>
      </w:r>
      <w:r>
        <w:fldChar w:fldCharType="begin"/>
      </w:r>
      <w:r>
        <w:instrText xml:space="preserve"> PAGEREF _Toc17516 \h </w:instrText>
      </w:r>
      <w:r>
        <w:fldChar w:fldCharType="separate"/>
      </w:r>
      <w:r>
        <w:t>9</w:t>
      </w:r>
      <w:r>
        <w:fldChar w:fldCharType="end"/>
      </w:r>
      <w:r>
        <w:rPr>
          <w:color w:val="auto"/>
        </w:rPr>
        <w:fldChar w:fldCharType="end"/>
      </w:r>
    </w:p>
    <w:p w14:paraId="2918DF8C">
      <w:pPr>
        <w:pStyle w:val="19"/>
        <w:tabs>
          <w:tab w:val="right" w:leader="dot" w:pos="9354"/>
        </w:tabs>
      </w:pPr>
      <w:r>
        <w:rPr>
          <w:color w:val="auto"/>
        </w:rPr>
        <w:fldChar w:fldCharType="begin"/>
      </w:r>
      <w:r>
        <w:instrText xml:space="preserve"> HYPERLINK \l _Toc14423 </w:instrText>
      </w:r>
      <w:r>
        <w:fldChar w:fldCharType="separate"/>
      </w:r>
      <w:r>
        <w:rPr>
          <w:rFonts w:hint="eastAsia" w:ascii="黑体" w:eastAsia="黑体"/>
          <w:i w:val="0"/>
          <w:szCs w:val="21"/>
        </w:rPr>
        <w:t xml:space="preserve">5.5.1 </w:t>
      </w:r>
      <w:r>
        <w:rPr>
          <w:rFonts w:hint="eastAsia"/>
          <w:szCs w:val="21"/>
          <w:lang w:val="en-US" w:eastAsia="zh-CN"/>
        </w:rPr>
        <w:t>风险识别与评估</w:t>
      </w:r>
      <w:r>
        <w:tab/>
      </w:r>
      <w:r>
        <w:fldChar w:fldCharType="begin"/>
      </w:r>
      <w:r>
        <w:instrText xml:space="preserve"> PAGEREF _Toc14423 \h </w:instrText>
      </w:r>
      <w:r>
        <w:fldChar w:fldCharType="separate"/>
      </w:r>
      <w:r>
        <w:t>9</w:t>
      </w:r>
      <w:r>
        <w:fldChar w:fldCharType="end"/>
      </w:r>
      <w:r>
        <w:rPr>
          <w:color w:val="auto"/>
        </w:rPr>
        <w:fldChar w:fldCharType="end"/>
      </w:r>
    </w:p>
    <w:p w14:paraId="468ECFDD">
      <w:pPr>
        <w:pStyle w:val="19"/>
        <w:tabs>
          <w:tab w:val="right" w:leader="dot" w:pos="9354"/>
        </w:tabs>
      </w:pPr>
      <w:r>
        <w:rPr>
          <w:color w:val="auto"/>
        </w:rPr>
        <w:fldChar w:fldCharType="begin"/>
      </w:r>
      <w:r>
        <w:instrText xml:space="preserve"> HYPERLINK \l _Toc3633 </w:instrText>
      </w:r>
      <w:r>
        <w:fldChar w:fldCharType="separate"/>
      </w:r>
      <w:r>
        <w:rPr>
          <w:rFonts w:hint="eastAsia" w:ascii="黑体" w:eastAsia="黑体"/>
          <w:i w:val="0"/>
          <w:szCs w:val="21"/>
        </w:rPr>
        <w:t xml:space="preserve">5.5.2 </w:t>
      </w:r>
      <w:r>
        <w:rPr>
          <w:rFonts w:hint="eastAsia"/>
          <w:szCs w:val="21"/>
        </w:rPr>
        <w:t>风险控制与监测</w:t>
      </w:r>
      <w:r>
        <w:tab/>
      </w:r>
      <w:r>
        <w:fldChar w:fldCharType="begin"/>
      </w:r>
      <w:r>
        <w:instrText xml:space="preserve"> PAGEREF _Toc3633 \h </w:instrText>
      </w:r>
      <w:r>
        <w:fldChar w:fldCharType="separate"/>
      </w:r>
      <w:r>
        <w:t>9</w:t>
      </w:r>
      <w:r>
        <w:fldChar w:fldCharType="end"/>
      </w:r>
      <w:r>
        <w:rPr>
          <w:color w:val="auto"/>
        </w:rPr>
        <w:fldChar w:fldCharType="end"/>
      </w:r>
    </w:p>
    <w:p w14:paraId="332FFC11">
      <w:pPr>
        <w:pStyle w:val="19"/>
        <w:tabs>
          <w:tab w:val="right" w:leader="dot" w:pos="9354"/>
        </w:tabs>
      </w:pPr>
      <w:r>
        <w:rPr>
          <w:color w:val="auto"/>
        </w:rPr>
        <w:fldChar w:fldCharType="begin"/>
      </w:r>
      <w:r>
        <w:instrText xml:space="preserve"> HYPERLINK \l _Toc15872 </w:instrText>
      </w:r>
      <w:r>
        <w:fldChar w:fldCharType="separate"/>
      </w:r>
      <w:r>
        <w:rPr>
          <w:rFonts w:hint="eastAsia" w:ascii="黑体" w:eastAsia="黑体"/>
          <w:i w:val="0"/>
          <w:szCs w:val="21"/>
        </w:rPr>
        <w:t xml:space="preserve">5.5.3 </w:t>
      </w:r>
      <w:r>
        <w:rPr>
          <w:rFonts w:hint="eastAsia"/>
          <w:szCs w:val="21"/>
        </w:rPr>
        <w:t>双重预防机制建设</w:t>
      </w:r>
      <w:r>
        <w:tab/>
      </w:r>
      <w:r>
        <w:fldChar w:fldCharType="begin"/>
      </w:r>
      <w:r>
        <w:instrText xml:space="preserve"> PAGEREF _Toc15872 \h </w:instrText>
      </w:r>
      <w:r>
        <w:fldChar w:fldCharType="separate"/>
      </w:r>
      <w:r>
        <w:t>10</w:t>
      </w:r>
      <w:r>
        <w:fldChar w:fldCharType="end"/>
      </w:r>
      <w:r>
        <w:rPr>
          <w:color w:val="auto"/>
        </w:rPr>
        <w:fldChar w:fldCharType="end"/>
      </w:r>
    </w:p>
    <w:p w14:paraId="204E9D4B">
      <w:pPr>
        <w:pStyle w:val="28"/>
        <w:tabs>
          <w:tab w:val="right" w:leader="dot" w:pos="9354"/>
          <w:tab w:val="clear" w:pos="9344"/>
        </w:tabs>
      </w:pPr>
      <w:r>
        <w:rPr>
          <w:color w:val="auto"/>
        </w:rPr>
        <w:fldChar w:fldCharType="begin"/>
      </w:r>
      <w:r>
        <w:instrText xml:space="preserve"> HYPERLINK \l _Toc2031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rPr>
        <w:t xml:space="preserve">5.6 </w:t>
      </w:r>
      <w:r>
        <w:rPr>
          <w:rFonts w:hint="eastAsia"/>
          <w:szCs w:val="21"/>
          <w:highlight w:val="none"/>
        </w:rPr>
        <w:t>操作安全</w:t>
      </w:r>
      <w:r>
        <w:tab/>
      </w:r>
      <w:r>
        <w:fldChar w:fldCharType="begin"/>
      </w:r>
      <w:r>
        <w:instrText xml:space="preserve"> PAGEREF _Toc2031 \h </w:instrText>
      </w:r>
      <w:r>
        <w:fldChar w:fldCharType="separate"/>
      </w:r>
      <w:r>
        <w:t>10</w:t>
      </w:r>
      <w:r>
        <w:fldChar w:fldCharType="end"/>
      </w:r>
      <w:r>
        <w:rPr>
          <w:color w:val="auto"/>
        </w:rPr>
        <w:fldChar w:fldCharType="end"/>
      </w:r>
    </w:p>
    <w:p w14:paraId="3541C532">
      <w:pPr>
        <w:pStyle w:val="19"/>
        <w:tabs>
          <w:tab w:val="right" w:leader="dot" w:pos="9354"/>
        </w:tabs>
      </w:pPr>
      <w:r>
        <w:rPr>
          <w:color w:val="auto"/>
        </w:rPr>
        <w:fldChar w:fldCharType="begin"/>
      </w:r>
      <w:r>
        <w:instrText xml:space="preserve"> HYPERLINK \l _Toc5571 </w:instrText>
      </w:r>
      <w:r>
        <w:fldChar w:fldCharType="separate"/>
      </w:r>
      <w:r>
        <w:rPr>
          <w:rFonts w:hint="eastAsia" w:ascii="黑体" w:eastAsia="黑体"/>
          <w:i w:val="0"/>
          <w:szCs w:val="21"/>
        </w:rPr>
        <w:t xml:space="preserve">5.6.1 </w:t>
      </w:r>
      <w:r>
        <w:rPr>
          <w:rFonts w:hint="eastAsia"/>
          <w:szCs w:val="21"/>
        </w:rPr>
        <w:t>操作规程</w:t>
      </w:r>
      <w:r>
        <w:tab/>
      </w:r>
      <w:r>
        <w:fldChar w:fldCharType="begin"/>
      </w:r>
      <w:r>
        <w:instrText xml:space="preserve"> PAGEREF _Toc5571 \h </w:instrText>
      </w:r>
      <w:r>
        <w:fldChar w:fldCharType="separate"/>
      </w:r>
      <w:r>
        <w:t>10</w:t>
      </w:r>
      <w:r>
        <w:fldChar w:fldCharType="end"/>
      </w:r>
      <w:r>
        <w:rPr>
          <w:color w:val="auto"/>
        </w:rPr>
        <w:fldChar w:fldCharType="end"/>
      </w:r>
    </w:p>
    <w:p w14:paraId="0A3AEC12">
      <w:pPr>
        <w:pStyle w:val="19"/>
        <w:tabs>
          <w:tab w:val="right" w:leader="dot" w:pos="9354"/>
        </w:tabs>
      </w:pPr>
      <w:r>
        <w:rPr>
          <w:color w:val="auto"/>
        </w:rPr>
        <w:fldChar w:fldCharType="begin"/>
      </w:r>
      <w:r>
        <w:instrText xml:space="preserve"> HYPERLINK \l _Toc12210 </w:instrText>
      </w:r>
      <w:r>
        <w:fldChar w:fldCharType="separate"/>
      </w:r>
      <w:r>
        <w:rPr>
          <w:rFonts w:hint="eastAsia" w:ascii="黑体" w:eastAsia="黑体"/>
          <w:i w:val="0"/>
          <w:szCs w:val="21"/>
        </w:rPr>
        <w:t xml:space="preserve">5.6.2 </w:t>
      </w:r>
      <w:r>
        <w:rPr>
          <w:rFonts w:hint="eastAsia"/>
          <w:szCs w:val="21"/>
        </w:rPr>
        <w:t>正常操作</w:t>
      </w:r>
      <w:r>
        <w:tab/>
      </w:r>
      <w:r>
        <w:fldChar w:fldCharType="begin"/>
      </w:r>
      <w:r>
        <w:instrText xml:space="preserve"> PAGEREF _Toc12210 \h </w:instrText>
      </w:r>
      <w:r>
        <w:fldChar w:fldCharType="separate"/>
      </w:r>
      <w:r>
        <w:t>10</w:t>
      </w:r>
      <w:r>
        <w:fldChar w:fldCharType="end"/>
      </w:r>
      <w:r>
        <w:rPr>
          <w:color w:val="auto"/>
        </w:rPr>
        <w:fldChar w:fldCharType="end"/>
      </w:r>
    </w:p>
    <w:p w14:paraId="29F7B9DD">
      <w:pPr>
        <w:pStyle w:val="19"/>
        <w:tabs>
          <w:tab w:val="right" w:leader="dot" w:pos="9354"/>
        </w:tabs>
      </w:pPr>
      <w:r>
        <w:rPr>
          <w:color w:val="auto"/>
        </w:rPr>
        <w:fldChar w:fldCharType="begin"/>
      </w:r>
      <w:r>
        <w:instrText xml:space="preserve"> HYPERLINK \l _Toc28379 </w:instrText>
      </w:r>
      <w:r>
        <w:fldChar w:fldCharType="separate"/>
      </w:r>
      <w:r>
        <w:rPr>
          <w:rFonts w:hint="eastAsia" w:ascii="黑体" w:eastAsia="黑体"/>
          <w:i w:val="0"/>
          <w:szCs w:val="21"/>
        </w:rPr>
        <w:t xml:space="preserve">5.6.3 </w:t>
      </w:r>
      <w:r>
        <w:rPr>
          <w:rFonts w:hint="eastAsia"/>
          <w:szCs w:val="21"/>
        </w:rPr>
        <w:t>开停车安全管理</w:t>
      </w:r>
      <w:r>
        <w:tab/>
      </w:r>
      <w:r>
        <w:fldChar w:fldCharType="begin"/>
      </w:r>
      <w:r>
        <w:instrText xml:space="preserve"> PAGEREF _Toc28379 \h </w:instrText>
      </w:r>
      <w:r>
        <w:fldChar w:fldCharType="separate"/>
      </w:r>
      <w:r>
        <w:t>10</w:t>
      </w:r>
      <w:r>
        <w:fldChar w:fldCharType="end"/>
      </w:r>
      <w:r>
        <w:rPr>
          <w:color w:val="auto"/>
        </w:rPr>
        <w:fldChar w:fldCharType="end"/>
      </w:r>
    </w:p>
    <w:p w14:paraId="057972D8">
      <w:pPr>
        <w:pStyle w:val="19"/>
        <w:tabs>
          <w:tab w:val="right" w:leader="dot" w:pos="9354"/>
        </w:tabs>
      </w:pPr>
      <w:r>
        <w:rPr>
          <w:color w:val="auto"/>
        </w:rPr>
        <w:fldChar w:fldCharType="begin"/>
      </w:r>
      <w:r>
        <w:instrText xml:space="preserve"> HYPERLINK \l _Toc14903 </w:instrText>
      </w:r>
      <w:r>
        <w:fldChar w:fldCharType="separate"/>
      </w:r>
      <w:r>
        <w:rPr>
          <w:rFonts w:hint="eastAsia" w:ascii="黑体" w:eastAsia="黑体"/>
          <w:i w:val="0"/>
          <w:szCs w:val="21"/>
        </w:rPr>
        <w:t xml:space="preserve">5.6.4 </w:t>
      </w:r>
      <w:r>
        <w:rPr>
          <w:rFonts w:hint="eastAsia"/>
          <w:szCs w:val="21"/>
        </w:rPr>
        <w:t>报警管理</w:t>
      </w:r>
      <w:r>
        <w:tab/>
      </w:r>
      <w:r>
        <w:fldChar w:fldCharType="begin"/>
      </w:r>
      <w:r>
        <w:instrText xml:space="preserve"> PAGEREF _Toc14903 \h </w:instrText>
      </w:r>
      <w:r>
        <w:fldChar w:fldCharType="separate"/>
      </w:r>
      <w:r>
        <w:t>11</w:t>
      </w:r>
      <w:r>
        <w:fldChar w:fldCharType="end"/>
      </w:r>
      <w:r>
        <w:rPr>
          <w:color w:val="auto"/>
        </w:rPr>
        <w:fldChar w:fldCharType="end"/>
      </w:r>
    </w:p>
    <w:p w14:paraId="126936E6">
      <w:pPr>
        <w:pStyle w:val="19"/>
        <w:tabs>
          <w:tab w:val="right" w:leader="dot" w:pos="9354"/>
        </w:tabs>
      </w:pPr>
      <w:r>
        <w:rPr>
          <w:color w:val="auto"/>
        </w:rPr>
        <w:fldChar w:fldCharType="begin"/>
      </w:r>
      <w:r>
        <w:instrText xml:space="preserve"> HYPERLINK \l _Toc24971 </w:instrText>
      </w:r>
      <w:r>
        <w:fldChar w:fldCharType="separate"/>
      </w:r>
      <w:r>
        <w:rPr>
          <w:rFonts w:hint="eastAsia" w:ascii="黑体" w:eastAsia="黑体"/>
          <w:i w:val="0"/>
          <w:szCs w:val="21"/>
        </w:rPr>
        <w:t xml:space="preserve">5.6.5 </w:t>
      </w:r>
      <w:r>
        <w:rPr>
          <w:rFonts w:hint="eastAsia"/>
          <w:szCs w:val="21"/>
        </w:rPr>
        <w:t>异常工况处置</w:t>
      </w:r>
      <w:r>
        <w:tab/>
      </w:r>
      <w:r>
        <w:fldChar w:fldCharType="begin"/>
      </w:r>
      <w:r>
        <w:instrText xml:space="preserve"> PAGEREF _Toc24971 \h </w:instrText>
      </w:r>
      <w:r>
        <w:fldChar w:fldCharType="separate"/>
      </w:r>
      <w:r>
        <w:t>11</w:t>
      </w:r>
      <w:r>
        <w:fldChar w:fldCharType="end"/>
      </w:r>
      <w:r>
        <w:rPr>
          <w:color w:val="auto"/>
        </w:rPr>
        <w:fldChar w:fldCharType="end"/>
      </w:r>
    </w:p>
    <w:p w14:paraId="2BE59C13">
      <w:pPr>
        <w:pStyle w:val="19"/>
        <w:tabs>
          <w:tab w:val="right" w:leader="dot" w:pos="9354"/>
        </w:tabs>
      </w:pPr>
      <w:r>
        <w:rPr>
          <w:color w:val="auto"/>
        </w:rPr>
        <w:fldChar w:fldCharType="begin"/>
      </w:r>
      <w:r>
        <w:instrText xml:space="preserve"> HYPERLINK \l _Toc9097 </w:instrText>
      </w:r>
      <w:r>
        <w:fldChar w:fldCharType="separate"/>
      </w:r>
      <w:r>
        <w:rPr>
          <w:rFonts w:hint="eastAsia" w:ascii="黑体" w:eastAsia="黑体"/>
          <w:i w:val="0"/>
          <w:szCs w:val="21"/>
        </w:rPr>
        <w:t xml:space="preserve">5.6.6 </w:t>
      </w:r>
      <w:r>
        <w:rPr>
          <w:rFonts w:hint="eastAsia"/>
          <w:szCs w:val="21"/>
        </w:rPr>
        <w:t>现场规范化管理</w:t>
      </w:r>
      <w:r>
        <w:tab/>
      </w:r>
      <w:r>
        <w:fldChar w:fldCharType="begin"/>
      </w:r>
      <w:r>
        <w:instrText xml:space="preserve"> PAGEREF _Toc9097 \h </w:instrText>
      </w:r>
      <w:r>
        <w:fldChar w:fldCharType="separate"/>
      </w:r>
      <w:r>
        <w:t>11</w:t>
      </w:r>
      <w:r>
        <w:fldChar w:fldCharType="end"/>
      </w:r>
      <w:r>
        <w:rPr>
          <w:color w:val="auto"/>
        </w:rPr>
        <w:fldChar w:fldCharType="end"/>
      </w:r>
    </w:p>
    <w:p w14:paraId="74A75275">
      <w:pPr>
        <w:pStyle w:val="28"/>
        <w:tabs>
          <w:tab w:val="right" w:leader="dot" w:pos="9354"/>
          <w:tab w:val="clear" w:pos="9344"/>
        </w:tabs>
      </w:pPr>
      <w:r>
        <w:rPr>
          <w:color w:val="auto"/>
        </w:rPr>
        <w:fldChar w:fldCharType="begin"/>
      </w:r>
      <w:r>
        <w:instrText xml:space="preserve"> HYPERLINK \l _Toc30993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rPr>
        <w:t xml:space="preserve">5.7 </w:t>
      </w:r>
      <w:r>
        <w:rPr>
          <w:szCs w:val="21"/>
        </w:rPr>
        <w:t>设备完好性管理</w:t>
      </w:r>
      <w:r>
        <w:tab/>
      </w:r>
      <w:r>
        <w:fldChar w:fldCharType="begin"/>
      </w:r>
      <w:r>
        <w:instrText xml:space="preserve"> PAGEREF _Toc30993 \h </w:instrText>
      </w:r>
      <w:r>
        <w:fldChar w:fldCharType="separate"/>
      </w:r>
      <w:r>
        <w:t>11</w:t>
      </w:r>
      <w:r>
        <w:fldChar w:fldCharType="end"/>
      </w:r>
      <w:r>
        <w:rPr>
          <w:color w:val="auto"/>
        </w:rPr>
        <w:fldChar w:fldCharType="end"/>
      </w:r>
    </w:p>
    <w:p w14:paraId="387A5EB8">
      <w:pPr>
        <w:pStyle w:val="19"/>
        <w:tabs>
          <w:tab w:val="right" w:leader="dot" w:pos="9354"/>
        </w:tabs>
      </w:pPr>
      <w:r>
        <w:rPr>
          <w:color w:val="auto"/>
        </w:rPr>
        <w:fldChar w:fldCharType="begin"/>
      </w:r>
      <w:r>
        <w:instrText xml:space="preserve"> HYPERLINK \l _Toc7075 </w:instrText>
      </w:r>
      <w:r>
        <w:fldChar w:fldCharType="separate"/>
      </w:r>
      <w:r>
        <w:rPr>
          <w:rFonts w:hint="eastAsia" w:ascii="黑体" w:eastAsia="黑体"/>
          <w:i w:val="0"/>
          <w:szCs w:val="21"/>
        </w:rPr>
        <w:t xml:space="preserve">5.7.1 </w:t>
      </w:r>
      <w:r>
        <w:rPr>
          <w:rFonts w:hint="default"/>
          <w:szCs w:val="21"/>
          <w:highlight w:val="none"/>
        </w:rPr>
        <w:t>设计与</w:t>
      </w:r>
      <w:r>
        <w:rPr>
          <w:rFonts w:hint="eastAsia"/>
          <w:szCs w:val="21"/>
          <w:highlight w:val="none"/>
          <w:lang w:val="en-US" w:eastAsia="zh-CN"/>
        </w:rPr>
        <w:t>采购</w:t>
      </w:r>
      <w:r>
        <w:tab/>
      </w:r>
      <w:r>
        <w:fldChar w:fldCharType="begin"/>
      </w:r>
      <w:r>
        <w:instrText xml:space="preserve"> PAGEREF _Toc7075 \h </w:instrText>
      </w:r>
      <w:r>
        <w:fldChar w:fldCharType="separate"/>
      </w:r>
      <w:r>
        <w:t>11</w:t>
      </w:r>
      <w:r>
        <w:fldChar w:fldCharType="end"/>
      </w:r>
      <w:r>
        <w:rPr>
          <w:color w:val="auto"/>
        </w:rPr>
        <w:fldChar w:fldCharType="end"/>
      </w:r>
    </w:p>
    <w:p w14:paraId="51A0B501">
      <w:pPr>
        <w:pStyle w:val="19"/>
        <w:tabs>
          <w:tab w:val="right" w:leader="dot" w:pos="9354"/>
        </w:tabs>
      </w:pPr>
      <w:r>
        <w:rPr>
          <w:color w:val="auto"/>
        </w:rPr>
        <w:fldChar w:fldCharType="begin"/>
      </w:r>
      <w:r>
        <w:instrText xml:space="preserve"> HYPERLINK \l _Toc10589 </w:instrText>
      </w:r>
      <w:r>
        <w:fldChar w:fldCharType="separate"/>
      </w:r>
      <w:r>
        <w:rPr>
          <w:rFonts w:hint="eastAsia" w:ascii="黑体" w:eastAsia="黑体"/>
          <w:i w:val="0"/>
          <w:szCs w:val="21"/>
        </w:rPr>
        <w:t xml:space="preserve">5.7.2 </w:t>
      </w:r>
      <w:r>
        <w:rPr>
          <w:rFonts w:hint="eastAsia"/>
          <w:szCs w:val="21"/>
          <w:lang w:val="en-US" w:eastAsia="zh-CN"/>
        </w:rPr>
        <w:t>分级管理</w:t>
      </w:r>
      <w:r>
        <w:tab/>
      </w:r>
      <w:r>
        <w:fldChar w:fldCharType="begin"/>
      </w:r>
      <w:r>
        <w:instrText xml:space="preserve"> PAGEREF _Toc10589 \h </w:instrText>
      </w:r>
      <w:r>
        <w:fldChar w:fldCharType="separate"/>
      </w:r>
      <w:r>
        <w:t>11</w:t>
      </w:r>
      <w:r>
        <w:fldChar w:fldCharType="end"/>
      </w:r>
      <w:r>
        <w:rPr>
          <w:color w:val="auto"/>
        </w:rPr>
        <w:fldChar w:fldCharType="end"/>
      </w:r>
    </w:p>
    <w:p w14:paraId="7D9877AD">
      <w:pPr>
        <w:pStyle w:val="19"/>
        <w:tabs>
          <w:tab w:val="right" w:leader="dot" w:pos="9354"/>
        </w:tabs>
      </w:pPr>
      <w:r>
        <w:rPr>
          <w:color w:val="auto"/>
        </w:rPr>
        <w:fldChar w:fldCharType="begin"/>
      </w:r>
      <w:r>
        <w:instrText xml:space="preserve"> HYPERLINK \l _Toc17169 </w:instrText>
      </w:r>
      <w:r>
        <w:fldChar w:fldCharType="separate"/>
      </w:r>
      <w:r>
        <w:rPr>
          <w:rFonts w:hint="eastAsia" w:ascii="黑体" w:eastAsia="黑体"/>
          <w:i w:val="0"/>
          <w:szCs w:val="21"/>
        </w:rPr>
        <w:t xml:space="preserve">5.7.3 </w:t>
      </w:r>
      <w:r>
        <w:rPr>
          <w:rFonts w:hint="eastAsia"/>
          <w:szCs w:val="21"/>
        </w:rPr>
        <w:t>检验测试与检查</w:t>
      </w:r>
      <w:r>
        <w:tab/>
      </w:r>
      <w:r>
        <w:fldChar w:fldCharType="begin"/>
      </w:r>
      <w:r>
        <w:instrText xml:space="preserve"> PAGEREF _Toc17169 \h </w:instrText>
      </w:r>
      <w:r>
        <w:fldChar w:fldCharType="separate"/>
      </w:r>
      <w:r>
        <w:t>12</w:t>
      </w:r>
      <w:r>
        <w:fldChar w:fldCharType="end"/>
      </w:r>
      <w:r>
        <w:rPr>
          <w:color w:val="auto"/>
        </w:rPr>
        <w:fldChar w:fldCharType="end"/>
      </w:r>
    </w:p>
    <w:p w14:paraId="3A742677">
      <w:pPr>
        <w:pStyle w:val="19"/>
        <w:tabs>
          <w:tab w:val="right" w:leader="dot" w:pos="9354"/>
        </w:tabs>
      </w:pPr>
      <w:r>
        <w:rPr>
          <w:color w:val="auto"/>
        </w:rPr>
        <w:fldChar w:fldCharType="begin"/>
      </w:r>
      <w:r>
        <w:instrText xml:space="preserve"> HYPERLINK \l _Toc956 </w:instrText>
      </w:r>
      <w:r>
        <w:fldChar w:fldCharType="separate"/>
      </w:r>
      <w:r>
        <w:rPr>
          <w:rFonts w:hint="eastAsia" w:ascii="黑体" w:eastAsia="黑体"/>
          <w:i w:val="0"/>
          <w:szCs w:val="21"/>
        </w:rPr>
        <w:t xml:space="preserve">5.7.4 </w:t>
      </w:r>
      <w:r>
        <w:rPr>
          <w:rFonts w:hint="eastAsia"/>
          <w:szCs w:val="21"/>
        </w:rPr>
        <w:t>预防性维护与维修</w:t>
      </w:r>
      <w:r>
        <w:tab/>
      </w:r>
      <w:r>
        <w:fldChar w:fldCharType="begin"/>
      </w:r>
      <w:r>
        <w:instrText xml:space="preserve"> PAGEREF _Toc956 \h </w:instrText>
      </w:r>
      <w:r>
        <w:fldChar w:fldCharType="separate"/>
      </w:r>
      <w:r>
        <w:t>12</w:t>
      </w:r>
      <w:r>
        <w:fldChar w:fldCharType="end"/>
      </w:r>
      <w:r>
        <w:rPr>
          <w:color w:val="auto"/>
        </w:rPr>
        <w:fldChar w:fldCharType="end"/>
      </w:r>
    </w:p>
    <w:p w14:paraId="61160657">
      <w:pPr>
        <w:pStyle w:val="19"/>
        <w:tabs>
          <w:tab w:val="right" w:leader="dot" w:pos="9354"/>
        </w:tabs>
      </w:pPr>
      <w:r>
        <w:rPr>
          <w:color w:val="auto"/>
        </w:rPr>
        <w:fldChar w:fldCharType="begin"/>
      </w:r>
      <w:r>
        <w:instrText xml:space="preserve"> HYPERLINK \l _Toc21780 </w:instrText>
      </w:r>
      <w:r>
        <w:fldChar w:fldCharType="separate"/>
      </w:r>
      <w:r>
        <w:rPr>
          <w:rFonts w:hint="eastAsia" w:ascii="黑体" w:eastAsia="黑体"/>
          <w:i w:val="0"/>
          <w:szCs w:val="21"/>
        </w:rPr>
        <w:t xml:space="preserve">5.7.5 </w:t>
      </w:r>
      <w:r>
        <w:rPr>
          <w:rFonts w:hint="eastAsia"/>
          <w:szCs w:val="21"/>
          <w:highlight w:val="none"/>
        </w:rPr>
        <w:t>检维修质</w:t>
      </w:r>
      <w:r>
        <w:rPr>
          <w:rFonts w:hint="eastAsia"/>
          <w:szCs w:val="21"/>
        </w:rPr>
        <w:t>量控制</w:t>
      </w:r>
      <w:r>
        <w:tab/>
      </w:r>
      <w:r>
        <w:fldChar w:fldCharType="begin"/>
      </w:r>
      <w:r>
        <w:instrText xml:space="preserve"> PAGEREF _Toc21780 \h </w:instrText>
      </w:r>
      <w:r>
        <w:fldChar w:fldCharType="separate"/>
      </w:r>
      <w:r>
        <w:t>12</w:t>
      </w:r>
      <w:r>
        <w:fldChar w:fldCharType="end"/>
      </w:r>
      <w:r>
        <w:rPr>
          <w:color w:val="auto"/>
        </w:rPr>
        <w:fldChar w:fldCharType="end"/>
      </w:r>
    </w:p>
    <w:p w14:paraId="1132223A">
      <w:pPr>
        <w:pStyle w:val="19"/>
        <w:tabs>
          <w:tab w:val="right" w:leader="dot" w:pos="9354"/>
        </w:tabs>
      </w:pPr>
      <w:r>
        <w:rPr>
          <w:color w:val="auto"/>
        </w:rPr>
        <w:fldChar w:fldCharType="begin"/>
      </w:r>
      <w:r>
        <w:instrText xml:space="preserve"> HYPERLINK \l _Toc12527 </w:instrText>
      </w:r>
      <w:r>
        <w:fldChar w:fldCharType="separate"/>
      </w:r>
      <w:r>
        <w:rPr>
          <w:rFonts w:hint="eastAsia" w:ascii="黑体" w:eastAsia="黑体"/>
          <w:i w:val="0"/>
          <w:szCs w:val="21"/>
        </w:rPr>
        <w:t xml:space="preserve">5.7.6 </w:t>
      </w:r>
      <w:r>
        <w:rPr>
          <w:rFonts w:hint="eastAsia"/>
          <w:szCs w:val="21"/>
        </w:rPr>
        <w:t>缺陷管理</w:t>
      </w:r>
      <w:r>
        <w:tab/>
      </w:r>
      <w:r>
        <w:fldChar w:fldCharType="begin"/>
      </w:r>
      <w:r>
        <w:instrText xml:space="preserve"> PAGEREF _Toc12527 \h </w:instrText>
      </w:r>
      <w:r>
        <w:fldChar w:fldCharType="separate"/>
      </w:r>
      <w:r>
        <w:t>12</w:t>
      </w:r>
      <w:r>
        <w:fldChar w:fldCharType="end"/>
      </w:r>
      <w:r>
        <w:rPr>
          <w:color w:val="auto"/>
        </w:rPr>
        <w:fldChar w:fldCharType="end"/>
      </w:r>
    </w:p>
    <w:p w14:paraId="56AF1288">
      <w:pPr>
        <w:pStyle w:val="19"/>
        <w:tabs>
          <w:tab w:val="right" w:leader="dot" w:pos="9354"/>
        </w:tabs>
      </w:pPr>
      <w:r>
        <w:rPr>
          <w:color w:val="auto"/>
        </w:rPr>
        <w:fldChar w:fldCharType="begin"/>
      </w:r>
      <w:r>
        <w:instrText xml:space="preserve"> HYPERLINK \l _Toc20455 </w:instrText>
      </w:r>
      <w:r>
        <w:fldChar w:fldCharType="separate"/>
      </w:r>
      <w:r>
        <w:rPr>
          <w:rFonts w:hint="eastAsia" w:ascii="黑体" w:eastAsia="黑体"/>
          <w:i w:val="0"/>
          <w:szCs w:val="21"/>
        </w:rPr>
        <w:t xml:space="preserve">5.7.7 </w:t>
      </w:r>
      <w:r>
        <w:rPr>
          <w:rFonts w:hint="eastAsia"/>
          <w:szCs w:val="21"/>
        </w:rPr>
        <w:t>安全设施管理</w:t>
      </w:r>
      <w:r>
        <w:tab/>
      </w:r>
      <w:r>
        <w:fldChar w:fldCharType="begin"/>
      </w:r>
      <w:r>
        <w:instrText xml:space="preserve"> PAGEREF _Toc20455 \h </w:instrText>
      </w:r>
      <w:r>
        <w:fldChar w:fldCharType="separate"/>
      </w:r>
      <w:r>
        <w:t>12</w:t>
      </w:r>
      <w:r>
        <w:fldChar w:fldCharType="end"/>
      </w:r>
      <w:r>
        <w:rPr>
          <w:color w:val="auto"/>
        </w:rPr>
        <w:fldChar w:fldCharType="end"/>
      </w:r>
    </w:p>
    <w:p w14:paraId="22EF7333">
      <w:pPr>
        <w:pStyle w:val="19"/>
        <w:tabs>
          <w:tab w:val="right" w:leader="dot" w:pos="9354"/>
        </w:tabs>
      </w:pPr>
      <w:r>
        <w:rPr>
          <w:color w:val="auto"/>
        </w:rPr>
        <w:fldChar w:fldCharType="begin"/>
      </w:r>
      <w:r>
        <w:instrText xml:space="preserve"> HYPERLINK \l _Toc13527 </w:instrText>
      </w:r>
      <w:r>
        <w:fldChar w:fldCharType="separate"/>
      </w:r>
      <w:r>
        <w:rPr>
          <w:rFonts w:hint="eastAsia" w:ascii="黑体" w:eastAsia="黑体"/>
          <w:i w:val="0"/>
          <w:szCs w:val="21"/>
        </w:rPr>
        <w:t xml:space="preserve">5.7.8 </w:t>
      </w:r>
      <w:r>
        <w:rPr>
          <w:rFonts w:hint="eastAsia"/>
          <w:szCs w:val="21"/>
        </w:rPr>
        <w:t>特种设备管理</w:t>
      </w:r>
      <w:r>
        <w:tab/>
      </w:r>
      <w:r>
        <w:fldChar w:fldCharType="begin"/>
      </w:r>
      <w:r>
        <w:instrText xml:space="preserve"> PAGEREF _Toc13527 \h </w:instrText>
      </w:r>
      <w:r>
        <w:fldChar w:fldCharType="separate"/>
      </w:r>
      <w:r>
        <w:t>13</w:t>
      </w:r>
      <w:r>
        <w:fldChar w:fldCharType="end"/>
      </w:r>
      <w:r>
        <w:rPr>
          <w:color w:val="auto"/>
        </w:rPr>
        <w:fldChar w:fldCharType="end"/>
      </w:r>
    </w:p>
    <w:p w14:paraId="57276FEA">
      <w:pPr>
        <w:pStyle w:val="19"/>
        <w:tabs>
          <w:tab w:val="right" w:leader="dot" w:pos="9354"/>
        </w:tabs>
      </w:pPr>
      <w:r>
        <w:rPr>
          <w:color w:val="auto"/>
        </w:rPr>
        <w:fldChar w:fldCharType="begin"/>
      </w:r>
      <w:r>
        <w:instrText xml:space="preserve"> HYPERLINK \l _Toc29740 </w:instrText>
      </w:r>
      <w:r>
        <w:fldChar w:fldCharType="separate"/>
      </w:r>
      <w:r>
        <w:rPr>
          <w:rFonts w:hint="eastAsia" w:ascii="黑体" w:eastAsia="黑体"/>
          <w:i w:val="0"/>
          <w:szCs w:val="21"/>
        </w:rPr>
        <w:t xml:space="preserve">5.7.9 </w:t>
      </w:r>
      <w:r>
        <w:rPr>
          <w:rFonts w:hint="eastAsia"/>
          <w:szCs w:val="21"/>
        </w:rPr>
        <w:t>安全仪表管理</w:t>
      </w:r>
      <w:r>
        <w:tab/>
      </w:r>
      <w:r>
        <w:fldChar w:fldCharType="begin"/>
      </w:r>
      <w:r>
        <w:instrText xml:space="preserve"> PAGEREF _Toc29740 \h </w:instrText>
      </w:r>
      <w:r>
        <w:fldChar w:fldCharType="separate"/>
      </w:r>
      <w:r>
        <w:t>13</w:t>
      </w:r>
      <w:r>
        <w:fldChar w:fldCharType="end"/>
      </w:r>
      <w:r>
        <w:rPr>
          <w:color w:val="auto"/>
        </w:rPr>
        <w:fldChar w:fldCharType="end"/>
      </w:r>
    </w:p>
    <w:p w14:paraId="1E2273CD">
      <w:pPr>
        <w:pStyle w:val="19"/>
        <w:tabs>
          <w:tab w:val="right" w:leader="dot" w:pos="9354"/>
        </w:tabs>
      </w:pPr>
      <w:r>
        <w:rPr>
          <w:color w:val="auto"/>
        </w:rPr>
        <w:fldChar w:fldCharType="begin"/>
      </w:r>
      <w:r>
        <w:instrText xml:space="preserve"> HYPERLINK \l _Toc4272 </w:instrText>
      </w:r>
      <w:r>
        <w:fldChar w:fldCharType="separate"/>
      </w:r>
      <w:r>
        <w:rPr>
          <w:rFonts w:hint="eastAsia" w:ascii="黑体" w:eastAsia="黑体"/>
          <w:i w:val="0"/>
          <w:szCs w:val="21"/>
        </w:rPr>
        <w:t xml:space="preserve">5.7.10 </w:t>
      </w:r>
      <w:r>
        <w:rPr>
          <w:rFonts w:hint="eastAsia"/>
          <w:szCs w:val="21"/>
        </w:rPr>
        <w:t>设备完好性数据库</w:t>
      </w:r>
      <w:r>
        <w:tab/>
      </w:r>
      <w:r>
        <w:fldChar w:fldCharType="begin"/>
      </w:r>
      <w:r>
        <w:instrText xml:space="preserve"> PAGEREF _Toc4272 \h </w:instrText>
      </w:r>
      <w:r>
        <w:fldChar w:fldCharType="separate"/>
      </w:r>
      <w:r>
        <w:t>13</w:t>
      </w:r>
      <w:r>
        <w:fldChar w:fldCharType="end"/>
      </w:r>
      <w:r>
        <w:rPr>
          <w:color w:val="auto"/>
        </w:rPr>
        <w:fldChar w:fldCharType="end"/>
      </w:r>
    </w:p>
    <w:p w14:paraId="09D4618B">
      <w:pPr>
        <w:pStyle w:val="28"/>
        <w:tabs>
          <w:tab w:val="right" w:leader="dot" w:pos="9354"/>
          <w:tab w:val="clear" w:pos="9344"/>
        </w:tabs>
      </w:pPr>
      <w:r>
        <w:rPr>
          <w:color w:val="auto"/>
        </w:rPr>
        <w:fldChar w:fldCharType="begin"/>
      </w:r>
      <w:r>
        <w:instrText xml:space="preserve"> HYPERLINK \l _Toc31948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rPr>
        <w:t xml:space="preserve">5.8 </w:t>
      </w:r>
      <w:r>
        <w:rPr>
          <w:rFonts w:hint="eastAsia"/>
          <w:szCs w:val="21"/>
        </w:rPr>
        <w:t>作业安全</w:t>
      </w:r>
      <w:r>
        <w:tab/>
      </w:r>
      <w:r>
        <w:fldChar w:fldCharType="begin"/>
      </w:r>
      <w:r>
        <w:instrText xml:space="preserve"> PAGEREF _Toc31948 \h </w:instrText>
      </w:r>
      <w:r>
        <w:fldChar w:fldCharType="separate"/>
      </w:r>
      <w:r>
        <w:t>13</w:t>
      </w:r>
      <w:r>
        <w:fldChar w:fldCharType="end"/>
      </w:r>
      <w:r>
        <w:rPr>
          <w:color w:val="auto"/>
        </w:rPr>
        <w:fldChar w:fldCharType="end"/>
      </w:r>
    </w:p>
    <w:p w14:paraId="013CEE93">
      <w:pPr>
        <w:pStyle w:val="19"/>
        <w:tabs>
          <w:tab w:val="right" w:leader="dot" w:pos="9354"/>
        </w:tabs>
      </w:pPr>
      <w:r>
        <w:rPr>
          <w:color w:val="auto"/>
        </w:rPr>
        <w:fldChar w:fldCharType="begin"/>
      </w:r>
      <w:r>
        <w:instrText xml:space="preserve"> HYPERLINK \l _Toc16368 </w:instrText>
      </w:r>
      <w:r>
        <w:fldChar w:fldCharType="separate"/>
      </w:r>
      <w:r>
        <w:rPr>
          <w:rFonts w:hint="eastAsia" w:ascii="黑体" w:eastAsia="黑体"/>
          <w:i w:val="0"/>
          <w:szCs w:val="21"/>
        </w:rPr>
        <w:t xml:space="preserve">5.8.1 </w:t>
      </w:r>
      <w:r>
        <w:rPr>
          <w:rFonts w:hint="eastAsia"/>
          <w:szCs w:val="21"/>
        </w:rPr>
        <w:t>作业许可管理</w:t>
      </w:r>
      <w:r>
        <w:tab/>
      </w:r>
      <w:r>
        <w:fldChar w:fldCharType="begin"/>
      </w:r>
      <w:r>
        <w:instrText xml:space="preserve"> PAGEREF _Toc16368 \h </w:instrText>
      </w:r>
      <w:r>
        <w:fldChar w:fldCharType="separate"/>
      </w:r>
      <w:r>
        <w:t>13</w:t>
      </w:r>
      <w:r>
        <w:fldChar w:fldCharType="end"/>
      </w:r>
      <w:r>
        <w:rPr>
          <w:color w:val="auto"/>
        </w:rPr>
        <w:fldChar w:fldCharType="end"/>
      </w:r>
    </w:p>
    <w:p w14:paraId="29C7F4FF">
      <w:pPr>
        <w:pStyle w:val="19"/>
        <w:tabs>
          <w:tab w:val="right" w:leader="dot" w:pos="9354"/>
        </w:tabs>
      </w:pPr>
      <w:r>
        <w:rPr>
          <w:color w:val="auto"/>
        </w:rPr>
        <w:fldChar w:fldCharType="begin"/>
      </w:r>
      <w:r>
        <w:instrText xml:space="preserve"> HYPERLINK \l _Toc15056 </w:instrText>
      </w:r>
      <w:r>
        <w:fldChar w:fldCharType="separate"/>
      </w:r>
      <w:r>
        <w:rPr>
          <w:rFonts w:hint="eastAsia" w:ascii="黑体" w:eastAsia="黑体"/>
          <w:i w:val="0"/>
          <w:szCs w:val="21"/>
        </w:rPr>
        <w:t xml:space="preserve">5.8.2 </w:t>
      </w:r>
      <w:r>
        <w:rPr>
          <w:rFonts w:hint="eastAsia"/>
          <w:szCs w:val="21"/>
        </w:rPr>
        <w:t>作业风险分析</w:t>
      </w:r>
      <w:r>
        <w:tab/>
      </w:r>
      <w:r>
        <w:fldChar w:fldCharType="begin"/>
      </w:r>
      <w:r>
        <w:instrText xml:space="preserve"> PAGEREF _Toc15056 \h </w:instrText>
      </w:r>
      <w:r>
        <w:fldChar w:fldCharType="separate"/>
      </w:r>
      <w:r>
        <w:t>13</w:t>
      </w:r>
      <w:r>
        <w:fldChar w:fldCharType="end"/>
      </w:r>
      <w:r>
        <w:rPr>
          <w:color w:val="auto"/>
        </w:rPr>
        <w:fldChar w:fldCharType="end"/>
      </w:r>
    </w:p>
    <w:p w14:paraId="34ACE6C5">
      <w:pPr>
        <w:pStyle w:val="19"/>
        <w:tabs>
          <w:tab w:val="right" w:leader="dot" w:pos="9354"/>
        </w:tabs>
      </w:pPr>
      <w:r>
        <w:rPr>
          <w:color w:val="auto"/>
        </w:rPr>
        <w:fldChar w:fldCharType="begin"/>
      </w:r>
      <w:r>
        <w:instrText xml:space="preserve"> HYPERLINK \l _Toc11582 </w:instrText>
      </w:r>
      <w:r>
        <w:fldChar w:fldCharType="separate"/>
      </w:r>
      <w:r>
        <w:rPr>
          <w:rFonts w:hint="eastAsia" w:ascii="黑体" w:eastAsia="黑体"/>
          <w:i w:val="0"/>
          <w:szCs w:val="21"/>
        </w:rPr>
        <w:t xml:space="preserve">5.8.3 </w:t>
      </w:r>
      <w:r>
        <w:rPr>
          <w:rFonts w:hint="eastAsia"/>
          <w:szCs w:val="21"/>
        </w:rPr>
        <w:t>作业过程安全管控</w:t>
      </w:r>
      <w:r>
        <w:tab/>
      </w:r>
      <w:r>
        <w:fldChar w:fldCharType="begin"/>
      </w:r>
      <w:r>
        <w:instrText xml:space="preserve"> PAGEREF _Toc11582 \h </w:instrText>
      </w:r>
      <w:r>
        <w:fldChar w:fldCharType="separate"/>
      </w:r>
      <w:r>
        <w:t>14</w:t>
      </w:r>
      <w:r>
        <w:fldChar w:fldCharType="end"/>
      </w:r>
      <w:r>
        <w:rPr>
          <w:color w:val="auto"/>
        </w:rPr>
        <w:fldChar w:fldCharType="end"/>
      </w:r>
    </w:p>
    <w:p w14:paraId="36E10516">
      <w:pPr>
        <w:pStyle w:val="28"/>
        <w:tabs>
          <w:tab w:val="right" w:leader="dot" w:pos="9354"/>
          <w:tab w:val="clear" w:pos="9344"/>
        </w:tabs>
      </w:pPr>
      <w:r>
        <w:rPr>
          <w:color w:val="auto"/>
        </w:rPr>
        <w:fldChar w:fldCharType="begin"/>
      </w:r>
      <w:r>
        <w:instrText xml:space="preserve"> HYPERLINK \l _Toc23800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rPr>
        <w:t xml:space="preserve">5.9 </w:t>
      </w:r>
      <w:r>
        <w:rPr>
          <w:rFonts w:hint="eastAsia"/>
          <w:szCs w:val="21"/>
          <w:lang w:val="en-US" w:eastAsia="zh-CN"/>
        </w:rPr>
        <w:t>相关方</w:t>
      </w:r>
      <w:r>
        <w:rPr>
          <w:rFonts w:hint="eastAsia"/>
          <w:szCs w:val="21"/>
        </w:rPr>
        <w:t>管理</w:t>
      </w:r>
      <w:r>
        <w:tab/>
      </w:r>
      <w:r>
        <w:fldChar w:fldCharType="begin"/>
      </w:r>
      <w:r>
        <w:instrText xml:space="preserve"> PAGEREF _Toc23800 \h </w:instrText>
      </w:r>
      <w:r>
        <w:fldChar w:fldCharType="separate"/>
      </w:r>
      <w:r>
        <w:t>14</w:t>
      </w:r>
      <w:r>
        <w:fldChar w:fldCharType="end"/>
      </w:r>
      <w:r>
        <w:rPr>
          <w:color w:val="auto"/>
        </w:rPr>
        <w:fldChar w:fldCharType="end"/>
      </w:r>
    </w:p>
    <w:p w14:paraId="10D47B72">
      <w:pPr>
        <w:pStyle w:val="19"/>
        <w:tabs>
          <w:tab w:val="right" w:leader="dot" w:pos="9354"/>
        </w:tabs>
      </w:pPr>
      <w:r>
        <w:rPr>
          <w:color w:val="auto"/>
        </w:rPr>
        <w:fldChar w:fldCharType="begin"/>
      </w:r>
      <w:r>
        <w:instrText xml:space="preserve"> HYPERLINK \l _Toc26667 </w:instrText>
      </w:r>
      <w:r>
        <w:fldChar w:fldCharType="separate"/>
      </w:r>
      <w:r>
        <w:rPr>
          <w:rFonts w:hint="eastAsia" w:ascii="黑体" w:eastAsia="黑体"/>
          <w:i w:val="0"/>
          <w:szCs w:val="21"/>
        </w:rPr>
        <w:t xml:space="preserve">5.9.1 </w:t>
      </w:r>
      <w:r>
        <w:rPr>
          <w:rFonts w:hint="default"/>
          <w:szCs w:val="21"/>
        </w:rPr>
        <w:t>承包商</w:t>
      </w:r>
      <w:r>
        <w:rPr>
          <w:rFonts w:hint="eastAsia"/>
          <w:szCs w:val="21"/>
        </w:rPr>
        <w:t>准入管理</w:t>
      </w:r>
      <w:r>
        <w:tab/>
      </w:r>
      <w:r>
        <w:fldChar w:fldCharType="begin"/>
      </w:r>
      <w:r>
        <w:instrText xml:space="preserve"> PAGEREF _Toc26667 \h </w:instrText>
      </w:r>
      <w:r>
        <w:fldChar w:fldCharType="separate"/>
      </w:r>
      <w:r>
        <w:t>14</w:t>
      </w:r>
      <w:r>
        <w:fldChar w:fldCharType="end"/>
      </w:r>
      <w:r>
        <w:rPr>
          <w:color w:val="auto"/>
        </w:rPr>
        <w:fldChar w:fldCharType="end"/>
      </w:r>
    </w:p>
    <w:p w14:paraId="0E9E9A86">
      <w:pPr>
        <w:pStyle w:val="19"/>
        <w:tabs>
          <w:tab w:val="right" w:leader="dot" w:pos="9354"/>
        </w:tabs>
      </w:pPr>
      <w:r>
        <w:rPr>
          <w:color w:val="auto"/>
        </w:rPr>
        <w:fldChar w:fldCharType="begin"/>
      </w:r>
      <w:r>
        <w:instrText xml:space="preserve"> HYPERLINK \l _Toc10528 </w:instrText>
      </w:r>
      <w:r>
        <w:fldChar w:fldCharType="separate"/>
      </w:r>
      <w:r>
        <w:rPr>
          <w:rFonts w:hint="eastAsia" w:ascii="黑体" w:eastAsia="黑体"/>
          <w:i w:val="0"/>
          <w:szCs w:val="21"/>
        </w:rPr>
        <w:t xml:space="preserve">5.9.2 </w:t>
      </w:r>
      <w:r>
        <w:rPr>
          <w:rFonts w:hint="eastAsia"/>
          <w:szCs w:val="21"/>
        </w:rPr>
        <w:t>监督管理</w:t>
      </w:r>
      <w:r>
        <w:tab/>
      </w:r>
      <w:r>
        <w:fldChar w:fldCharType="begin"/>
      </w:r>
      <w:r>
        <w:instrText xml:space="preserve"> PAGEREF _Toc10528 \h </w:instrText>
      </w:r>
      <w:r>
        <w:fldChar w:fldCharType="separate"/>
      </w:r>
      <w:r>
        <w:t>14</w:t>
      </w:r>
      <w:r>
        <w:fldChar w:fldCharType="end"/>
      </w:r>
      <w:r>
        <w:rPr>
          <w:color w:val="auto"/>
        </w:rPr>
        <w:fldChar w:fldCharType="end"/>
      </w:r>
    </w:p>
    <w:p w14:paraId="7D06FEAC">
      <w:pPr>
        <w:pStyle w:val="19"/>
        <w:tabs>
          <w:tab w:val="right" w:leader="dot" w:pos="9354"/>
        </w:tabs>
      </w:pPr>
      <w:r>
        <w:rPr>
          <w:color w:val="auto"/>
        </w:rPr>
        <w:fldChar w:fldCharType="begin"/>
      </w:r>
      <w:r>
        <w:instrText xml:space="preserve"> HYPERLINK \l _Toc27015 </w:instrText>
      </w:r>
      <w:r>
        <w:fldChar w:fldCharType="separate"/>
      </w:r>
      <w:r>
        <w:rPr>
          <w:rFonts w:hint="eastAsia" w:ascii="黑体" w:eastAsia="黑体"/>
          <w:i w:val="0"/>
          <w:szCs w:val="21"/>
        </w:rPr>
        <w:t xml:space="preserve">5.9.3 </w:t>
      </w:r>
      <w:r>
        <w:rPr>
          <w:rFonts w:hint="eastAsia"/>
          <w:szCs w:val="21"/>
        </w:rPr>
        <w:t>安全绩效考核</w:t>
      </w:r>
      <w:r>
        <w:tab/>
      </w:r>
      <w:r>
        <w:fldChar w:fldCharType="begin"/>
      </w:r>
      <w:r>
        <w:instrText xml:space="preserve"> PAGEREF _Toc27015 \h </w:instrText>
      </w:r>
      <w:r>
        <w:fldChar w:fldCharType="separate"/>
      </w:r>
      <w:r>
        <w:t>14</w:t>
      </w:r>
      <w:r>
        <w:fldChar w:fldCharType="end"/>
      </w:r>
      <w:r>
        <w:rPr>
          <w:color w:val="auto"/>
        </w:rPr>
        <w:fldChar w:fldCharType="end"/>
      </w:r>
    </w:p>
    <w:p w14:paraId="36FA490C">
      <w:pPr>
        <w:pStyle w:val="19"/>
        <w:tabs>
          <w:tab w:val="right" w:leader="dot" w:pos="9354"/>
        </w:tabs>
      </w:pPr>
      <w:r>
        <w:rPr>
          <w:color w:val="auto"/>
        </w:rPr>
        <w:fldChar w:fldCharType="begin"/>
      </w:r>
      <w:r>
        <w:instrText xml:space="preserve"> HYPERLINK \l _Toc23984 </w:instrText>
      </w:r>
      <w:r>
        <w:fldChar w:fldCharType="separate"/>
      </w:r>
      <w:r>
        <w:rPr>
          <w:rFonts w:hint="eastAsia" w:ascii="黑体" w:eastAsia="黑体"/>
          <w:i w:val="0"/>
          <w:szCs w:val="21"/>
        </w:rPr>
        <w:t xml:space="preserve">5.9.4 </w:t>
      </w:r>
      <w:r>
        <w:rPr>
          <w:szCs w:val="21"/>
        </w:rPr>
        <w:t>供应商管理</w:t>
      </w:r>
      <w:r>
        <w:tab/>
      </w:r>
      <w:r>
        <w:fldChar w:fldCharType="begin"/>
      </w:r>
      <w:r>
        <w:instrText xml:space="preserve"> PAGEREF _Toc23984 \h </w:instrText>
      </w:r>
      <w:r>
        <w:fldChar w:fldCharType="separate"/>
      </w:r>
      <w:r>
        <w:t>14</w:t>
      </w:r>
      <w:r>
        <w:fldChar w:fldCharType="end"/>
      </w:r>
      <w:r>
        <w:rPr>
          <w:color w:val="auto"/>
        </w:rPr>
        <w:fldChar w:fldCharType="end"/>
      </w:r>
    </w:p>
    <w:p w14:paraId="73D7417E">
      <w:pPr>
        <w:pStyle w:val="28"/>
        <w:tabs>
          <w:tab w:val="right" w:leader="dot" w:pos="9354"/>
          <w:tab w:val="clear" w:pos="9344"/>
        </w:tabs>
      </w:pPr>
      <w:r>
        <w:rPr>
          <w:color w:val="auto"/>
        </w:rPr>
        <w:fldChar w:fldCharType="begin"/>
      </w:r>
      <w:r>
        <w:instrText xml:space="preserve"> HYPERLINK \l _Toc25481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rPr>
        <w:t xml:space="preserve">5.10 </w:t>
      </w:r>
      <w:r>
        <w:rPr>
          <w:rFonts w:hint="eastAsia"/>
          <w:szCs w:val="21"/>
        </w:rPr>
        <w:t>化学品安全与重大危险源管理</w:t>
      </w:r>
      <w:r>
        <w:tab/>
      </w:r>
      <w:r>
        <w:fldChar w:fldCharType="begin"/>
      </w:r>
      <w:r>
        <w:instrText xml:space="preserve"> PAGEREF _Toc25481 \h </w:instrText>
      </w:r>
      <w:r>
        <w:fldChar w:fldCharType="separate"/>
      </w:r>
      <w:r>
        <w:t>14</w:t>
      </w:r>
      <w:r>
        <w:fldChar w:fldCharType="end"/>
      </w:r>
      <w:r>
        <w:rPr>
          <w:color w:val="auto"/>
        </w:rPr>
        <w:fldChar w:fldCharType="end"/>
      </w:r>
    </w:p>
    <w:p w14:paraId="6B14BB8A">
      <w:pPr>
        <w:pStyle w:val="19"/>
        <w:tabs>
          <w:tab w:val="right" w:leader="dot" w:pos="9354"/>
        </w:tabs>
        <w:rPr>
          <w:rFonts w:hint="default"/>
          <w:lang w:val="en-US"/>
        </w:rPr>
      </w:pPr>
      <w:r>
        <w:rPr>
          <w:color w:val="auto"/>
        </w:rPr>
        <w:fldChar w:fldCharType="begin"/>
      </w:r>
      <w:r>
        <w:instrText xml:space="preserve"> HYPERLINK \l _Toc25516 </w:instrText>
      </w:r>
      <w:r>
        <w:fldChar w:fldCharType="separate"/>
      </w:r>
      <w:r>
        <w:rPr>
          <w:rFonts w:hint="eastAsia" w:ascii="黑体" w:eastAsia="黑体"/>
          <w:i w:val="0"/>
          <w:szCs w:val="21"/>
        </w:rPr>
        <w:t xml:space="preserve">5.10.1 </w:t>
      </w:r>
      <w:r>
        <w:rPr>
          <w:rFonts w:hint="eastAsia" w:ascii="宋体" w:eastAsia="宋体"/>
          <w:i w:val="0"/>
          <w:szCs w:val="21"/>
          <w:lang w:val="en-US" w:eastAsia="zh-CN"/>
        </w:rPr>
        <w:t>鉴定分类和登记</w:t>
      </w:r>
      <w:r>
        <w:tab/>
      </w:r>
      <w:r>
        <w:rPr>
          <w:rFonts w:hint="default"/>
          <w:lang w:val="en-US"/>
        </w:rPr>
        <w:t>1</w:t>
      </w:r>
      <w:r>
        <w:rPr>
          <w:color w:val="auto"/>
        </w:rPr>
        <w:fldChar w:fldCharType="end"/>
      </w:r>
      <w:r>
        <w:rPr>
          <w:rFonts w:hint="default"/>
          <w:color w:val="auto"/>
          <w:lang w:val="en-US"/>
        </w:rPr>
        <w:t>5</w:t>
      </w:r>
    </w:p>
    <w:p w14:paraId="189CD89F">
      <w:pPr>
        <w:pStyle w:val="19"/>
        <w:tabs>
          <w:tab w:val="right" w:leader="dot" w:pos="9354"/>
        </w:tabs>
        <w:rPr>
          <w:rFonts w:hint="default"/>
          <w:lang w:val="en-US"/>
        </w:rPr>
      </w:pPr>
      <w:r>
        <w:rPr>
          <w:color w:val="auto"/>
        </w:rPr>
        <w:fldChar w:fldCharType="begin"/>
      </w:r>
      <w:r>
        <w:instrText xml:space="preserve"> HYPERLINK \l _Toc17454 </w:instrText>
      </w:r>
      <w:r>
        <w:fldChar w:fldCharType="separate"/>
      </w:r>
      <w:r>
        <w:rPr>
          <w:rFonts w:hint="eastAsia" w:ascii="黑体" w:eastAsia="黑体"/>
          <w:i w:val="0"/>
          <w:szCs w:val="21"/>
        </w:rPr>
        <w:t xml:space="preserve">5.10.2 </w:t>
      </w:r>
      <w:r>
        <w:rPr>
          <w:rFonts w:hint="eastAsia"/>
          <w:szCs w:val="21"/>
        </w:rPr>
        <w:t>化学品安全管理</w:t>
      </w:r>
      <w:r>
        <w:tab/>
      </w:r>
      <w:r>
        <w:rPr>
          <w:color w:val="auto"/>
        </w:rPr>
        <w:fldChar w:fldCharType="end"/>
      </w:r>
      <w:r>
        <w:rPr>
          <w:rFonts w:hint="default"/>
          <w:color w:val="auto"/>
          <w:lang w:val="en-US"/>
        </w:rPr>
        <w:t>16</w:t>
      </w:r>
    </w:p>
    <w:p w14:paraId="6C06D8DF">
      <w:pPr>
        <w:pStyle w:val="19"/>
        <w:tabs>
          <w:tab w:val="right" w:leader="dot" w:pos="9354"/>
        </w:tabs>
      </w:pPr>
      <w:r>
        <w:rPr>
          <w:color w:val="auto"/>
        </w:rPr>
        <w:fldChar w:fldCharType="begin"/>
      </w:r>
      <w:r>
        <w:instrText xml:space="preserve"> HYPERLINK \l _Toc25648 </w:instrText>
      </w:r>
      <w:r>
        <w:fldChar w:fldCharType="separate"/>
      </w:r>
      <w:r>
        <w:rPr>
          <w:rFonts w:hint="eastAsia" w:ascii="黑体" w:eastAsia="黑体"/>
          <w:i w:val="0"/>
          <w:szCs w:val="21"/>
        </w:rPr>
        <w:t xml:space="preserve">5.10.3 </w:t>
      </w:r>
      <w:r>
        <w:rPr>
          <w:rFonts w:hint="eastAsia"/>
          <w:szCs w:val="21"/>
        </w:rPr>
        <w:t>储存安全管理</w:t>
      </w:r>
      <w:r>
        <w:tab/>
      </w:r>
      <w:r>
        <w:fldChar w:fldCharType="begin"/>
      </w:r>
      <w:r>
        <w:instrText xml:space="preserve"> PAGEREF _Toc25648 \h </w:instrText>
      </w:r>
      <w:r>
        <w:fldChar w:fldCharType="separate"/>
      </w:r>
      <w:r>
        <w:t>15</w:t>
      </w:r>
      <w:r>
        <w:fldChar w:fldCharType="end"/>
      </w:r>
      <w:r>
        <w:rPr>
          <w:color w:val="auto"/>
        </w:rPr>
        <w:fldChar w:fldCharType="end"/>
      </w:r>
    </w:p>
    <w:p w14:paraId="032759CF">
      <w:pPr>
        <w:pStyle w:val="19"/>
        <w:tabs>
          <w:tab w:val="right" w:leader="dot" w:pos="9354"/>
        </w:tabs>
      </w:pPr>
      <w:r>
        <w:rPr>
          <w:color w:val="auto"/>
        </w:rPr>
        <w:fldChar w:fldCharType="begin"/>
      </w:r>
      <w:r>
        <w:instrText xml:space="preserve"> HYPERLINK \l _Toc18001 </w:instrText>
      </w:r>
      <w:r>
        <w:fldChar w:fldCharType="separate"/>
      </w:r>
      <w:r>
        <w:rPr>
          <w:rFonts w:hint="eastAsia" w:ascii="黑体" w:eastAsia="黑体"/>
          <w:i w:val="0"/>
          <w:szCs w:val="21"/>
        </w:rPr>
        <w:t xml:space="preserve">5.10.4 </w:t>
      </w:r>
      <w:r>
        <w:rPr>
          <w:rFonts w:hint="eastAsia"/>
          <w:szCs w:val="21"/>
        </w:rPr>
        <w:t>重大危险源管理</w:t>
      </w:r>
      <w:r>
        <w:tab/>
      </w:r>
      <w:r>
        <w:fldChar w:fldCharType="begin"/>
      </w:r>
      <w:r>
        <w:instrText xml:space="preserve"> PAGEREF _Toc18001 \h </w:instrText>
      </w:r>
      <w:r>
        <w:fldChar w:fldCharType="separate"/>
      </w:r>
      <w:r>
        <w:t>15</w:t>
      </w:r>
      <w:r>
        <w:fldChar w:fldCharType="end"/>
      </w:r>
      <w:r>
        <w:rPr>
          <w:color w:val="auto"/>
        </w:rPr>
        <w:fldChar w:fldCharType="end"/>
      </w:r>
    </w:p>
    <w:p w14:paraId="3443ABA9">
      <w:pPr>
        <w:pStyle w:val="19"/>
        <w:tabs>
          <w:tab w:val="right" w:leader="dot" w:pos="9354"/>
        </w:tabs>
      </w:pPr>
      <w:r>
        <w:rPr>
          <w:color w:val="auto"/>
        </w:rPr>
        <w:fldChar w:fldCharType="begin"/>
      </w:r>
      <w:r>
        <w:instrText xml:space="preserve"> HYPERLINK \l _Toc20689 </w:instrText>
      </w:r>
      <w:r>
        <w:fldChar w:fldCharType="separate"/>
      </w:r>
      <w:r>
        <w:rPr>
          <w:rFonts w:hint="eastAsia" w:ascii="黑体" w:eastAsia="黑体"/>
          <w:i w:val="0"/>
          <w:szCs w:val="21"/>
        </w:rPr>
        <w:t xml:space="preserve">5.10.5 </w:t>
      </w:r>
      <w:r>
        <w:rPr>
          <w:rFonts w:hint="eastAsia"/>
          <w:szCs w:val="21"/>
        </w:rPr>
        <w:t>分析化验室</w:t>
      </w:r>
      <w:r>
        <w:rPr>
          <w:rFonts w:hint="default"/>
          <w:szCs w:val="21"/>
        </w:rPr>
        <w:t>（实验室）</w:t>
      </w:r>
      <w:r>
        <w:rPr>
          <w:rFonts w:hint="eastAsia"/>
          <w:szCs w:val="21"/>
        </w:rPr>
        <w:t>安全</w:t>
      </w:r>
      <w:r>
        <w:tab/>
      </w:r>
      <w:r>
        <w:fldChar w:fldCharType="begin"/>
      </w:r>
      <w:r>
        <w:instrText xml:space="preserve"> PAGEREF _Toc20689 \h </w:instrText>
      </w:r>
      <w:r>
        <w:fldChar w:fldCharType="separate"/>
      </w:r>
      <w:r>
        <w:t>15</w:t>
      </w:r>
      <w:r>
        <w:fldChar w:fldCharType="end"/>
      </w:r>
      <w:r>
        <w:rPr>
          <w:color w:val="auto"/>
        </w:rPr>
        <w:fldChar w:fldCharType="end"/>
      </w:r>
    </w:p>
    <w:p w14:paraId="67C99A06">
      <w:pPr>
        <w:pStyle w:val="28"/>
        <w:tabs>
          <w:tab w:val="right" w:leader="dot" w:pos="9354"/>
          <w:tab w:val="clear" w:pos="9344"/>
        </w:tabs>
      </w:pPr>
      <w:r>
        <w:rPr>
          <w:color w:val="auto"/>
        </w:rPr>
        <w:fldChar w:fldCharType="begin"/>
      </w:r>
      <w:r>
        <w:instrText xml:space="preserve"> HYPERLINK \l _Toc22727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rPr>
        <w:t xml:space="preserve">5.11 </w:t>
      </w:r>
      <w:r>
        <w:rPr>
          <w:rFonts w:hint="eastAsia"/>
          <w:szCs w:val="21"/>
        </w:rPr>
        <w:t>变更管理</w:t>
      </w:r>
      <w:r>
        <w:tab/>
      </w:r>
      <w:r>
        <w:fldChar w:fldCharType="begin"/>
      </w:r>
      <w:r>
        <w:instrText xml:space="preserve"> PAGEREF _Toc22727 \h </w:instrText>
      </w:r>
      <w:r>
        <w:fldChar w:fldCharType="separate"/>
      </w:r>
      <w:r>
        <w:t>15</w:t>
      </w:r>
      <w:r>
        <w:fldChar w:fldCharType="end"/>
      </w:r>
      <w:r>
        <w:rPr>
          <w:color w:val="auto"/>
        </w:rPr>
        <w:fldChar w:fldCharType="end"/>
      </w:r>
    </w:p>
    <w:p w14:paraId="727F9E15">
      <w:pPr>
        <w:pStyle w:val="19"/>
        <w:tabs>
          <w:tab w:val="right" w:leader="dot" w:pos="9354"/>
        </w:tabs>
        <w:rPr>
          <w:rFonts w:hint="eastAsia"/>
        </w:rPr>
      </w:pPr>
      <w:r>
        <w:rPr>
          <w:rFonts w:hint="eastAsia"/>
          <w:color w:val="auto"/>
        </w:rPr>
        <w:fldChar w:fldCharType="begin"/>
      </w:r>
      <w:r>
        <w:rPr>
          <w:rFonts w:hint="eastAsia"/>
        </w:rPr>
        <w:instrText xml:space="preserve"> HYPERLINK \l _Toc22198 </w:instrText>
      </w:r>
      <w:r>
        <w:rPr>
          <w:rFonts w:hint="eastAsia"/>
        </w:rPr>
        <w:fldChar w:fldCharType="separate"/>
      </w:r>
      <w:r>
        <w:rPr>
          <w:rFonts w:hint="eastAsia" w:ascii="宋体" w:eastAsia="宋体"/>
          <w:i w:val="0"/>
          <w:szCs w:val="21"/>
        </w:rPr>
        <w:t xml:space="preserve">5.11.1 </w:t>
      </w:r>
      <w:r>
        <w:rPr>
          <w:rFonts w:hint="eastAsia"/>
          <w:szCs w:val="21"/>
        </w:rPr>
        <w:t>分类与分级</w:t>
      </w:r>
      <w:r>
        <w:rPr>
          <w:rFonts w:hint="eastAsia"/>
        </w:rPr>
        <w:tab/>
      </w:r>
      <w:r>
        <w:rPr>
          <w:rFonts w:hint="eastAsia"/>
        </w:rPr>
        <w:fldChar w:fldCharType="begin"/>
      </w:r>
      <w:r>
        <w:rPr>
          <w:rFonts w:hint="eastAsia"/>
        </w:rPr>
        <w:instrText xml:space="preserve"> PAGEREF _Toc22198 \h </w:instrText>
      </w:r>
      <w:r>
        <w:rPr>
          <w:rFonts w:hint="eastAsia"/>
        </w:rPr>
        <w:fldChar w:fldCharType="separate"/>
      </w:r>
      <w:r>
        <w:rPr>
          <w:rFonts w:hint="eastAsia"/>
        </w:rPr>
        <w:t>15</w:t>
      </w:r>
      <w:r>
        <w:rPr>
          <w:rFonts w:hint="eastAsia"/>
        </w:rPr>
        <w:fldChar w:fldCharType="end"/>
      </w:r>
      <w:r>
        <w:rPr>
          <w:rFonts w:hint="eastAsia"/>
          <w:color w:val="auto"/>
        </w:rPr>
        <w:fldChar w:fldCharType="end"/>
      </w:r>
    </w:p>
    <w:p w14:paraId="253FC5EF">
      <w:pPr>
        <w:pStyle w:val="19"/>
        <w:tabs>
          <w:tab w:val="right" w:leader="dot" w:pos="9354"/>
        </w:tabs>
      </w:pPr>
      <w:r>
        <w:rPr>
          <w:color w:val="auto"/>
        </w:rPr>
        <w:fldChar w:fldCharType="begin"/>
      </w:r>
      <w:r>
        <w:instrText xml:space="preserve"> HYPERLINK \l _Toc14056 </w:instrText>
      </w:r>
      <w:r>
        <w:fldChar w:fldCharType="separate"/>
      </w:r>
      <w:r>
        <w:rPr>
          <w:rFonts w:hint="eastAsia" w:ascii="黑体" w:eastAsia="黑体"/>
          <w:i w:val="0"/>
          <w:szCs w:val="21"/>
        </w:rPr>
        <w:t xml:space="preserve">5.11.2 </w:t>
      </w:r>
      <w:r>
        <w:rPr>
          <w:rFonts w:hint="eastAsia"/>
          <w:szCs w:val="21"/>
        </w:rPr>
        <w:t>申请与风险评估</w:t>
      </w:r>
      <w:r>
        <w:tab/>
      </w:r>
      <w:r>
        <w:fldChar w:fldCharType="begin"/>
      </w:r>
      <w:r>
        <w:instrText xml:space="preserve"> PAGEREF _Toc14056 \h </w:instrText>
      </w:r>
      <w:r>
        <w:fldChar w:fldCharType="separate"/>
      </w:r>
      <w:r>
        <w:t>15</w:t>
      </w:r>
      <w:r>
        <w:fldChar w:fldCharType="end"/>
      </w:r>
      <w:r>
        <w:rPr>
          <w:color w:val="auto"/>
        </w:rPr>
        <w:fldChar w:fldCharType="end"/>
      </w:r>
    </w:p>
    <w:p w14:paraId="404B155F">
      <w:pPr>
        <w:pStyle w:val="19"/>
        <w:tabs>
          <w:tab w:val="right" w:leader="dot" w:pos="9354"/>
        </w:tabs>
      </w:pPr>
      <w:r>
        <w:rPr>
          <w:color w:val="auto"/>
        </w:rPr>
        <w:fldChar w:fldCharType="begin"/>
      </w:r>
      <w:r>
        <w:instrText xml:space="preserve"> HYPERLINK \l _Toc30211 </w:instrText>
      </w:r>
      <w:r>
        <w:fldChar w:fldCharType="separate"/>
      </w:r>
      <w:r>
        <w:rPr>
          <w:rFonts w:hint="eastAsia" w:ascii="黑体" w:eastAsia="黑体"/>
          <w:i w:val="0"/>
          <w:szCs w:val="21"/>
        </w:rPr>
        <w:t xml:space="preserve">5.11.3 </w:t>
      </w:r>
      <w:r>
        <w:rPr>
          <w:rFonts w:hint="eastAsia"/>
          <w:szCs w:val="21"/>
        </w:rPr>
        <w:t>审批与实施</w:t>
      </w:r>
      <w:r>
        <w:tab/>
      </w:r>
      <w:r>
        <w:fldChar w:fldCharType="begin"/>
      </w:r>
      <w:r>
        <w:instrText xml:space="preserve"> PAGEREF _Toc30211 \h </w:instrText>
      </w:r>
      <w:r>
        <w:fldChar w:fldCharType="separate"/>
      </w:r>
      <w:r>
        <w:t>16</w:t>
      </w:r>
      <w:r>
        <w:fldChar w:fldCharType="end"/>
      </w:r>
      <w:r>
        <w:rPr>
          <w:color w:val="auto"/>
        </w:rPr>
        <w:fldChar w:fldCharType="end"/>
      </w:r>
    </w:p>
    <w:p w14:paraId="030BEB15">
      <w:pPr>
        <w:pStyle w:val="19"/>
        <w:tabs>
          <w:tab w:val="right" w:leader="dot" w:pos="9354"/>
        </w:tabs>
      </w:pPr>
      <w:r>
        <w:rPr>
          <w:color w:val="auto"/>
        </w:rPr>
        <w:fldChar w:fldCharType="begin"/>
      </w:r>
      <w:r>
        <w:instrText xml:space="preserve"> HYPERLINK \l _Toc4238 </w:instrText>
      </w:r>
      <w:r>
        <w:fldChar w:fldCharType="separate"/>
      </w:r>
      <w:r>
        <w:rPr>
          <w:rFonts w:hint="eastAsia" w:ascii="黑体" w:eastAsia="黑体"/>
          <w:i w:val="0"/>
          <w:szCs w:val="21"/>
        </w:rPr>
        <w:t xml:space="preserve">5.11.4 </w:t>
      </w:r>
      <w:r>
        <w:rPr>
          <w:rFonts w:hint="eastAsia"/>
          <w:szCs w:val="21"/>
        </w:rPr>
        <w:t>验收与关闭</w:t>
      </w:r>
      <w:r>
        <w:tab/>
      </w:r>
      <w:r>
        <w:fldChar w:fldCharType="begin"/>
      </w:r>
      <w:r>
        <w:instrText xml:space="preserve"> PAGEREF _Toc4238 \h </w:instrText>
      </w:r>
      <w:r>
        <w:fldChar w:fldCharType="separate"/>
      </w:r>
      <w:r>
        <w:t>16</w:t>
      </w:r>
      <w:r>
        <w:fldChar w:fldCharType="end"/>
      </w:r>
      <w:r>
        <w:rPr>
          <w:color w:val="auto"/>
        </w:rPr>
        <w:fldChar w:fldCharType="end"/>
      </w:r>
    </w:p>
    <w:p w14:paraId="1242EA29">
      <w:pPr>
        <w:pStyle w:val="28"/>
        <w:tabs>
          <w:tab w:val="right" w:leader="dot" w:pos="9354"/>
          <w:tab w:val="clear" w:pos="9344"/>
        </w:tabs>
      </w:pPr>
      <w:r>
        <w:rPr>
          <w:color w:val="auto"/>
        </w:rPr>
        <w:fldChar w:fldCharType="begin"/>
      </w:r>
      <w:r>
        <w:instrText xml:space="preserve"> HYPERLINK \l _Toc5254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rPr>
        <w:t xml:space="preserve">5.12 </w:t>
      </w:r>
      <w:r>
        <w:rPr>
          <w:rFonts w:hint="eastAsia"/>
          <w:szCs w:val="21"/>
        </w:rPr>
        <w:t>应急准备与响应</w:t>
      </w:r>
      <w:r>
        <w:tab/>
      </w:r>
      <w:r>
        <w:fldChar w:fldCharType="begin"/>
      </w:r>
      <w:r>
        <w:instrText xml:space="preserve"> PAGEREF _Toc5254 \h </w:instrText>
      </w:r>
      <w:r>
        <w:fldChar w:fldCharType="separate"/>
      </w:r>
      <w:r>
        <w:t>16</w:t>
      </w:r>
      <w:r>
        <w:fldChar w:fldCharType="end"/>
      </w:r>
      <w:r>
        <w:rPr>
          <w:color w:val="auto"/>
        </w:rPr>
        <w:fldChar w:fldCharType="end"/>
      </w:r>
    </w:p>
    <w:p w14:paraId="1F449E7A">
      <w:pPr>
        <w:pStyle w:val="19"/>
        <w:tabs>
          <w:tab w:val="right" w:leader="dot" w:pos="9354"/>
        </w:tabs>
      </w:pPr>
      <w:r>
        <w:rPr>
          <w:color w:val="auto"/>
        </w:rPr>
        <w:fldChar w:fldCharType="begin"/>
      </w:r>
      <w:r>
        <w:instrText xml:space="preserve"> HYPERLINK \l _Toc15428 </w:instrText>
      </w:r>
      <w:r>
        <w:fldChar w:fldCharType="separate"/>
      </w:r>
      <w:r>
        <w:rPr>
          <w:rFonts w:hint="eastAsia" w:ascii="黑体" w:eastAsia="黑体"/>
          <w:i w:val="0"/>
          <w:szCs w:val="21"/>
        </w:rPr>
        <w:t xml:space="preserve">5.12.1 </w:t>
      </w:r>
      <w:r>
        <w:rPr>
          <w:rFonts w:hint="eastAsia"/>
          <w:szCs w:val="21"/>
        </w:rPr>
        <w:t>应急机构和队伍</w:t>
      </w:r>
      <w:r>
        <w:tab/>
      </w:r>
      <w:r>
        <w:fldChar w:fldCharType="begin"/>
      </w:r>
      <w:r>
        <w:instrText xml:space="preserve"> PAGEREF _Toc15428 \h </w:instrText>
      </w:r>
      <w:r>
        <w:fldChar w:fldCharType="separate"/>
      </w:r>
      <w:r>
        <w:t>16</w:t>
      </w:r>
      <w:r>
        <w:fldChar w:fldCharType="end"/>
      </w:r>
      <w:r>
        <w:rPr>
          <w:color w:val="auto"/>
        </w:rPr>
        <w:fldChar w:fldCharType="end"/>
      </w:r>
    </w:p>
    <w:p w14:paraId="6B9EDB43">
      <w:pPr>
        <w:pStyle w:val="19"/>
        <w:tabs>
          <w:tab w:val="right" w:leader="dot" w:pos="9354"/>
        </w:tabs>
      </w:pPr>
      <w:r>
        <w:rPr>
          <w:color w:val="auto"/>
        </w:rPr>
        <w:fldChar w:fldCharType="begin"/>
      </w:r>
      <w:r>
        <w:instrText xml:space="preserve"> HYPERLINK \l _Toc24267 </w:instrText>
      </w:r>
      <w:r>
        <w:fldChar w:fldCharType="separate"/>
      </w:r>
      <w:r>
        <w:rPr>
          <w:rFonts w:hint="eastAsia" w:ascii="黑体" w:eastAsia="黑体"/>
          <w:i w:val="0"/>
          <w:szCs w:val="21"/>
        </w:rPr>
        <w:t xml:space="preserve">5.12.2 </w:t>
      </w:r>
      <w:r>
        <w:rPr>
          <w:rFonts w:hint="eastAsia"/>
          <w:szCs w:val="21"/>
        </w:rPr>
        <w:t>应急预案</w:t>
      </w:r>
      <w:r>
        <w:tab/>
      </w:r>
      <w:r>
        <w:fldChar w:fldCharType="begin"/>
      </w:r>
      <w:r>
        <w:instrText xml:space="preserve"> PAGEREF _Toc24267 \h </w:instrText>
      </w:r>
      <w:r>
        <w:fldChar w:fldCharType="separate"/>
      </w:r>
      <w:r>
        <w:t>16</w:t>
      </w:r>
      <w:r>
        <w:fldChar w:fldCharType="end"/>
      </w:r>
      <w:r>
        <w:rPr>
          <w:color w:val="auto"/>
        </w:rPr>
        <w:fldChar w:fldCharType="end"/>
      </w:r>
    </w:p>
    <w:p w14:paraId="69388AF2">
      <w:pPr>
        <w:pStyle w:val="19"/>
        <w:tabs>
          <w:tab w:val="right" w:leader="dot" w:pos="9354"/>
        </w:tabs>
      </w:pPr>
      <w:r>
        <w:rPr>
          <w:color w:val="auto"/>
        </w:rPr>
        <w:fldChar w:fldCharType="begin"/>
      </w:r>
      <w:r>
        <w:instrText xml:space="preserve"> HYPERLINK \l _Toc19430 </w:instrText>
      </w:r>
      <w:r>
        <w:fldChar w:fldCharType="separate"/>
      </w:r>
      <w:r>
        <w:rPr>
          <w:rFonts w:hint="eastAsia" w:ascii="黑体" w:eastAsia="黑体"/>
          <w:i w:val="0"/>
          <w:szCs w:val="21"/>
        </w:rPr>
        <w:t xml:space="preserve">5.12.3 </w:t>
      </w:r>
      <w:r>
        <w:rPr>
          <w:rFonts w:hint="eastAsia"/>
          <w:szCs w:val="21"/>
        </w:rPr>
        <w:t>应急资源管理</w:t>
      </w:r>
      <w:r>
        <w:tab/>
      </w:r>
      <w:r>
        <w:fldChar w:fldCharType="begin"/>
      </w:r>
      <w:r>
        <w:instrText xml:space="preserve"> PAGEREF _Toc19430 \h </w:instrText>
      </w:r>
      <w:r>
        <w:fldChar w:fldCharType="separate"/>
      </w:r>
      <w:r>
        <w:t>16</w:t>
      </w:r>
      <w:r>
        <w:fldChar w:fldCharType="end"/>
      </w:r>
      <w:r>
        <w:rPr>
          <w:color w:val="auto"/>
        </w:rPr>
        <w:fldChar w:fldCharType="end"/>
      </w:r>
    </w:p>
    <w:p w14:paraId="446B26B4">
      <w:pPr>
        <w:pStyle w:val="19"/>
        <w:tabs>
          <w:tab w:val="right" w:leader="dot" w:pos="9354"/>
        </w:tabs>
      </w:pPr>
      <w:r>
        <w:rPr>
          <w:color w:val="auto"/>
        </w:rPr>
        <w:fldChar w:fldCharType="begin"/>
      </w:r>
      <w:r>
        <w:instrText xml:space="preserve"> HYPERLINK \l _Toc24753 </w:instrText>
      </w:r>
      <w:r>
        <w:fldChar w:fldCharType="separate"/>
      </w:r>
      <w:r>
        <w:rPr>
          <w:rFonts w:hint="eastAsia" w:ascii="黑体" w:eastAsia="黑体"/>
          <w:i w:val="0"/>
          <w:szCs w:val="21"/>
        </w:rPr>
        <w:t xml:space="preserve">5.12.4 </w:t>
      </w:r>
      <w:r>
        <w:rPr>
          <w:rFonts w:hint="eastAsia"/>
          <w:szCs w:val="21"/>
        </w:rPr>
        <w:t>应急演练与评估</w:t>
      </w:r>
      <w:r>
        <w:tab/>
      </w:r>
      <w:r>
        <w:fldChar w:fldCharType="begin"/>
      </w:r>
      <w:r>
        <w:instrText xml:space="preserve"> PAGEREF _Toc24753 \h </w:instrText>
      </w:r>
      <w:r>
        <w:fldChar w:fldCharType="separate"/>
      </w:r>
      <w:r>
        <w:t>17</w:t>
      </w:r>
      <w:r>
        <w:fldChar w:fldCharType="end"/>
      </w:r>
      <w:r>
        <w:rPr>
          <w:color w:val="auto"/>
        </w:rPr>
        <w:fldChar w:fldCharType="end"/>
      </w:r>
    </w:p>
    <w:p w14:paraId="54E9D09B">
      <w:pPr>
        <w:pStyle w:val="19"/>
        <w:tabs>
          <w:tab w:val="right" w:leader="dot" w:pos="9354"/>
        </w:tabs>
      </w:pPr>
      <w:r>
        <w:rPr>
          <w:color w:val="auto"/>
        </w:rPr>
        <w:fldChar w:fldCharType="begin"/>
      </w:r>
      <w:r>
        <w:instrText xml:space="preserve"> HYPERLINK \l _Toc16233 </w:instrText>
      </w:r>
      <w:r>
        <w:fldChar w:fldCharType="separate"/>
      </w:r>
      <w:r>
        <w:rPr>
          <w:rFonts w:hint="eastAsia" w:ascii="黑体" w:eastAsia="黑体"/>
          <w:i w:val="0"/>
          <w:szCs w:val="21"/>
        </w:rPr>
        <w:t xml:space="preserve">5.12.5 </w:t>
      </w:r>
      <w:r>
        <w:rPr>
          <w:rFonts w:hint="eastAsia"/>
          <w:szCs w:val="21"/>
        </w:rPr>
        <w:t>应急</w:t>
      </w:r>
      <w:r>
        <w:rPr>
          <w:rFonts w:hint="eastAsia"/>
          <w:szCs w:val="21"/>
          <w:lang w:val="en-US" w:eastAsia="zh-CN"/>
        </w:rPr>
        <w:t>救援</w:t>
      </w:r>
      <w:r>
        <w:tab/>
      </w:r>
      <w:r>
        <w:fldChar w:fldCharType="begin"/>
      </w:r>
      <w:r>
        <w:instrText xml:space="preserve"> PAGEREF _Toc16233 \h </w:instrText>
      </w:r>
      <w:r>
        <w:fldChar w:fldCharType="separate"/>
      </w:r>
      <w:r>
        <w:t>17</w:t>
      </w:r>
      <w:r>
        <w:fldChar w:fldCharType="end"/>
      </w:r>
      <w:r>
        <w:rPr>
          <w:color w:val="auto"/>
        </w:rPr>
        <w:fldChar w:fldCharType="end"/>
      </w:r>
    </w:p>
    <w:p w14:paraId="6918B2E0">
      <w:pPr>
        <w:pStyle w:val="19"/>
        <w:tabs>
          <w:tab w:val="right" w:leader="dot" w:pos="9354"/>
        </w:tabs>
      </w:pPr>
      <w:r>
        <w:rPr>
          <w:color w:val="auto"/>
        </w:rPr>
        <w:fldChar w:fldCharType="begin"/>
      </w:r>
      <w:r>
        <w:instrText xml:space="preserve"> HYPERLINK \l _Toc30634 </w:instrText>
      </w:r>
      <w:r>
        <w:fldChar w:fldCharType="separate"/>
      </w:r>
      <w:r>
        <w:rPr>
          <w:rFonts w:hint="eastAsia" w:ascii="黑体" w:eastAsia="黑体"/>
          <w:i w:val="0"/>
          <w:szCs w:val="21"/>
        </w:rPr>
        <w:t xml:space="preserve">5.12.6 </w:t>
      </w:r>
      <w:r>
        <w:rPr>
          <w:rFonts w:hint="eastAsia"/>
          <w:szCs w:val="21"/>
        </w:rPr>
        <w:t>应急救援评估</w:t>
      </w:r>
      <w:r>
        <w:tab/>
      </w:r>
      <w:r>
        <w:fldChar w:fldCharType="begin"/>
      </w:r>
      <w:r>
        <w:instrText xml:space="preserve"> PAGEREF _Toc30634 \h </w:instrText>
      </w:r>
      <w:r>
        <w:fldChar w:fldCharType="separate"/>
      </w:r>
      <w:r>
        <w:t>17</w:t>
      </w:r>
      <w:r>
        <w:fldChar w:fldCharType="end"/>
      </w:r>
      <w:r>
        <w:rPr>
          <w:color w:val="auto"/>
        </w:rPr>
        <w:fldChar w:fldCharType="end"/>
      </w:r>
    </w:p>
    <w:p w14:paraId="66C6865E">
      <w:pPr>
        <w:pStyle w:val="28"/>
        <w:tabs>
          <w:tab w:val="right" w:leader="dot" w:pos="9354"/>
          <w:tab w:val="clear" w:pos="9344"/>
        </w:tabs>
      </w:pPr>
      <w:r>
        <w:rPr>
          <w:color w:val="auto"/>
        </w:rPr>
        <w:fldChar w:fldCharType="begin"/>
      </w:r>
      <w:r>
        <w:instrText xml:space="preserve"> HYPERLINK \l _Toc3737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rPr>
        <w:t>5.13</w:t>
      </w:r>
      <w:r>
        <w:rPr>
          <w:rFonts w:hint="eastAsia" w:ascii="黑体" w:hAnsi="Times New Roman" w:eastAsia="黑体" w:cs="Times New Roman"/>
          <w:bCs w:val="0"/>
          <w:i w:val="0"/>
          <w:iCs w:val="0"/>
          <w:caps w:val="0"/>
          <w:smallCaps w:val="0"/>
          <w:strike w:val="0"/>
          <w:dstrike w:val="0"/>
          <w:vanish w:val="0"/>
          <w:spacing w:val="0"/>
          <w:kern w:val="0"/>
          <w:position w:val="0"/>
          <w:szCs w:val="21"/>
          <w:highlight w:val="none"/>
          <w:vertAlign w:val="baseline"/>
        </w:rPr>
        <w:t xml:space="preserve"> </w:t>
      </w:r>
      <w:r>
        <w:rPr>
          <w:rFonts w:hint="eastAsia"/>
          <w:szCs w:val="21"/>
          <w:highlight w:val="none"/>
        </w:rPr>
        <w:t>事故事件管理</w:t>
      </w:r>
      <w:r>
        <w:tab/>
      </w:r>
      <w:r>
        <w:fldChar w:fldCharType="begin"/>
      </w:r>
      <w:r>
        <w:instrText xml:space="preserve"> PAGEREF _Toc3737 \h </w:instrText>
      </w:r>
      <w:r>
        <w:fldChar w:fldCharType="separate"/>
      </w:r>
      <w:r>
        <w:t>17</w:t>
      </w:r>
      <w:r>
        <w:fldChar w:fldCharType="end"/>
      </w:r>
      <w:r>
        <w:rPr>
          <w:color w:val="auto"/>
        </w:rPr>
        <w:fldChar w:fldCharType="end"/>
      </w:r>
    </w:p>
    <w:p w14:paraId="1A7C5F75">
      <w:pPr>
        <w:pStyle w:val="19"/>
        <w:tabs>
          <w:tab w:val="right" w:leader="dot" w:pos="9354"/>
        </w:tabs>
      </w:pPr>
      <w:r>
        <w:rPr>
          <w:color w:val="auto"/>
        </w:rPr>
        <w:fldChar w:fldCharType="begin"/>
      </w:r>
      <w:r>
        <w:instrText xml:space="preserve"> HYPERLINK \l _Toc5096 </w:instrText>
      </w:r>
      <w:r>
        <w:fldChar w:fldCharType="separate"/>
      </w:r>
      <w:r>
        <w:rPr>
          <w:rFonts w:hint="eastAsia" w:ascii="黑体" w:eastAsia="黑体"/>
          <w:i w:val="0"/>
          <w:szCs w:val="21"/>
        </w:rPr>
        <w:t xml:space="preserve">5.13.1 </w:t>
      </w:r>
      <w:r>
        <w:rPr>
          <w:rFonts w:hint="eastAsia"/>
          <w:szCs w:val="21"/>
        </w:rPr>
        <w:t>分类分级</w:t>
      </w:r>
      <w:r>
        <w:tab/>
      </w:r>
      <w:r>
        <w:fldChar w:fldCharType="begin"/>
      </w:r>
      <w:r>
        <w:instrText xml:space="preserve"> PAGEREF _Toc5096 \h </w:instrText>
      </w:r>
      <w:r>
        <w:fldChar w:fldCharType="separate"/>
      </w:r>
      <w:r>
        <w:t>17</w:t>
      </w:r>
      <w:r>
        <w:fldChar w:fldCharType="end"/>
      </w:r>
      <w:r>
        <w:rPr>
          <w:color w:val="auto"/>
        </w:rPr>
        <w:fldChar w:fldCharType="end"/>
      </w:r>
    </w:p>
    <w:p w14:paraId="0060361A">
      <w:pPr>
        <w:pStyle w:val="19"/>
        <w:tabs>
          <w:tab w:val="right" w:leader="dot" w:pos="9354"/>
        </w:tabs>
      </w:pPr>
      <w:r>
        <w:rPr>
          <w:color w:val="auto"/>
        </w:rPr>
        <w:fldChar w:fldCharType="begin"/>
      </w:r>
      <w:r>
        <w:instrText xml:space="preserve"> HYPERLINK \l _Toc18961 </w:instrText>
      </w:r>
      <w:r>
        <w:fldChar w:fldCharType="separate"/>
      </w:r>
      <w:r>
        <w:rPr>
          <w:rFonts w:hint="eastAsia" w:ascii="黑体" w:eastAsia="黑体"/>
          <w:i w:val="0"/>
          <w:szCs w:val="21"/>
          <w:lang w:bidi="ar"/>
        </w:rPr>
        <w:t xml:space="preserve">5.13.2 </w:t>
      </w:r>
      <w:r>
        <w:rPr>
          <w:rFonts w:hint="eastAsia"/>
          <w:szCs w:val="21"/>
        </w:rPr>
        <w:t>上报</w:t>
      </w:r>
      <w:r>
        <w:tab/>
      </w:r>
      <w:r>
        <w:fldChar w:fldCharType="begin"/>
      </w:r>
      <w:r>
        <w:instrText xml:space="preserve"> PAGEREF _Toc18961 \h </w:instrText>
      </w:r>
      <w:r>
        <w:fldChar w:fldCharType="separate"/>
      </w:r>
      <w:r>
        <w:t>17</w:t>
      </w:r>
      <w:r>
        <w:fldChar w:fldCharType="end"/>
      </w:r>
      <w:r>
        <w:rPr>
          <w:color w:val="auto"/>
        </w:rPr>
        <w:fldChar w:fldCharType="end"/>
      </w:r>
    </w:p>
    <w:p w14:paraId="7D747786">
      <w:pPr>
        <w:pStyle w:val="19"/>
        <w:tabs>
          <w:tab w:val="right" w:leader="dot" w:pos="9354"/>
        </w:tabs>
      </w:pPr>
      <w:r>
        <w:rPr>
          <w:color w:val="auto"/>
        </w:rPr>
        <w:fldChar w:fldCharType="begin"/>
      </w:r>
      <w:r>
        <w:instrText xml:space="preserve"> HYPERLINK \l _Toc10248 </w:instrText>
      </w:r>
      <w:r>
        <w:fldChar w:fldCharType="separate"/>
      </w:r>
      <w:r>
        <w:rPr>
          <w:rFonts w:hint="eastAsia" w:ascii="黑体" w:eastAsia="黑体"/>
          <w:i w:val="0"/>
          <w:szCs w:val="21"/>
        </w:rPr>
        <w:t xml:space="preserve">5.13.3 </w:t>
      </w:r>
      <w:r>
        <w:rPr>
          <w:rFonts w:hint="eastAsia"/>
          <w:szCs w:val="21"/>
        </w:rPr>
        <w:t>调查与处理</w:t>
      </w:r>
      <w:r>
        <w:tab/>
      </w:r>
      <w:r>
        <w:fldChar w:fldCharType="begin"/>
      </w:r>
      <w:r>
        <w:instrText xml:space="preserve"> PAGEREF _Toc10248 \h </w:instrText>
      </w:r>
      <w:r>
        <w:fldChar w:fldCharType="separate"/>
      </w:r>
      <w:r>
        <w:t>17</w:t>
      </w:r>
      <w:r>
        <w:fldChar w:fldCharType="end"/>
      </w:r>
      <w:r>
        <w:rPr>
          <w:color w:val="auto"/>
        </w:rPr>
        <w:fldChar w:fldCharType="end"/>
      </w:r>
    </w:p>
    <w:p w14:paraId="74E84A25">
      <w:pPr>
        <w:pStyle w:val="19"/>
        <w:tabs>
          <w:tab w:val="right" w:leader="dot" w:pos="9354"/>
        </w:tabs>
      </w:pPr>
      <w:r>
        <w:rPr>
          <w:color w:val="auto"/>
        </w:rPr>
        <w:fldChar w:fldCharType="begin"/>
      </w:r>
      <w:r>
        <w:instrText xml:space="preserve"> HYPERLINK \l _Toc21694 </w:instrText>
      </w:r>
      <w:r>
        <w:fldChar w:fldCharType="separate"/>
      </w:r>
      <w:r>
        <w:rPr>
          <w:rFonts w:hint="eastAsia" w:ascii="黑体" w:eastAsia="黑体"/>
          <w:i w:val="0"/>
          <w:szCs w:val="21"/>
        </w:rPr>
        <w:t xml:space="preserve">5.13.4 </w:t>
      </w:r>
      <w:r>
        <w:rPr>
          <w:rFonts w:hint="eastAsia"/>
          <w:szCs w:val="21"/>
          <w:highlight w:val="none"/>
        </w:rPr>
        <w:t>整改与教训吸取</w:t>
      </w:r>
      <w:r>
        <w:tab/>
      </w:r>
      <w:r>
        <w:fldChar w:fldCharType="begin"/>
      </w:r>
      <w:r>
        <w:instrText xml:space="preserve"> PAGEREF _Toc21694 \h </w:instrText>
      </w:r>
      <w:r>
        <w:fldChar w:fldCharType="separate"/>
      </w:r>
      <w:r>
        <w:t>17</w:t>
      </w:r>
      <w:r>
        <w:fldChar w:fldCharType="end"/>
      </w:r>
      <w:r>
        <w:rPr>
          <w:color w:val="auto"/>
        </w:rPr>
        <w:fldChar w:fldCharType="end"/>
      </w:r>
    </w:p>
    <w:p w14:paraId="3708E2C3">
      <w:pPr>
        <w:pStyle w:val="28"/>
        <w:rPr>
          <w:rFonts w:eastAsia="宋体" w:cs="Times New Roman"/>
          <w:color w:val="auto"/>
        </w:rPr>
      </w:pPr>
      <w:r>
        <w:rPr>
          <w:rFonts w:eastAsia="宋体" w:cs="Times New Roman"/>
          <w:color w:val="auto"/>
        </w:rPr>
        <w:fldChar w:fldCharType="begin"/>
      </w:r>
      <w:r>
        <w:rPr>
          <w:rFonts w:eastAsia="宋体" w:cs="Times New Roman"/>
          <w:color w:val="auto"/>
        </w:rPr>
        <w:instrText xml:space="preserve"> HYPERLINK \l _Toc25336 </w:instrText>
      </w:r>
      <w:r>
        <w:rPr>
          <w:rFonts w:eastAsia="宋体" w:cs="Times New Roman"/>
          <w:color w:val="auto"/>
        </w:rPr>
        <w:fldChar w:fldCharType="separate"/>
      </w:r>
      <w:r>
        <w:rPr>
          <w:rFonts w:hint="default" w:ascii="宋体" w:eastAsia="宋体" w:cs="Times New Roman"/>
          <w:i w:val="0"/>
          <w:color w:val="auto"/>
          <w:szCs w:val="21"/>
        </w:rPr>
        <w:t>5.1</w:t>
      </w:r>
      <w:r>
        <w:rPr>
          <w:rFonts w:hint="eastAsia" w:eastAsia="宋体" w:cs="Times New Roman"/>
          <w:i w:val="0"/>
          <w:color w:val="auto"/>
          <w:szCs w:val="21"/>
          <w:lang w:eastAsia="zh-CN"/>
        </w:rPr>
        <w:t>4</w:t>
      </w:r>
      <w:r>
        <w:rPr>
          <w:rFonts w:hint="default" w:eastAsia="宋体" w:cs="Times New Roman"/>
          <w:color w:val="auto"/>
          <w:szCs w:val="21"/>
          <w:lang w:val="en-US" w:eastAsia="zh-CN"/>
        </w:rPr>
        <w:t>绩效评估</w:t>
      </w:r>
      <w:r>
        <w:rPr>
          <w:rFonts w:eastAsia="宋体" w:cs="Times New Roman"/>
          <w:color w:val="auto"/>
        </w:rPr>
        <w:tab/>
      </w:r>
      <w:r>
        <w:rPr>
          <w:rFonts w:eastAsia="宋体" w:cs="Times New Roman"/>
          <w:color w:val="auto"/>
        </w:rPr>
        <w:fldChar w:fldCharType="begin"/>
      </w:r>
      <w:r>
        <w:rPr>
          <w:rFonts w:eastAsia="宋体" w:cs="Times New Roman"/>
          <w:color w:val="auto"/>
        </w:rPr>
        <w:instrText xml:space="preserve"> PAGEREF _Toc25336 \h </w:instrText>
      </w:r>
      <w:r>
        <w:rPr>
          <w:rFonts w:eastAsia="宋体" w:cs="Times New Roman"/>
          <w:color w:val="auto"/>
        </w:rPr>
        <w:fldChar w:fldCharType="separate"/>
      </w:r>
      <w:r>
        <w:rPr>
          <w:rFonts w:eastAsia="宋体" w:cs="Times New Roman"/>
          <w:color w:val="auto"/>
        </w:rPr>
        <w:t>18</w:t>
      </w:r>
      <w:r>
        <w:rPr>
          <w:rFonts w:eastAsia="宋体" w:cs="Times New Roman"/>
          <w:color w:val="auto"/>
        </w:rPr>
        <w:fldChar w:fldCharType="end"/>
      </w:r>
      <w:r>
        <w:rPr>
          <w:rFonts w:eastAsia="宋体" w:cs="Times New Roman"/>
          <w:color w:val="auto"/>
        </w:rPr>
        <w:fldChar w:fldCharType="end"/>
      </w:r>
    </w:p>
    <w:p w14:paraId="138897D7">
      <w:pPr>
        <w:pStyle w:val="19"/>
        <w:tabs>
          <w:tab w:val="right" w:leader="dot" w:pos="9354"/>
        </w:tabs>
      </w:pPr>
      <w:r>
        <w:rPr>
          <w:color w:val="auto"/>
        </w:rPr>
        <w:fldChar w:fldCharType="begin"/>
      </w:r>
      <w:r>
        <w:instrText xml:space="preserve"> HYPERLINK \l _Toc681 </w:instrText>
      </w:r>
      <w:r>
        <w:fldChar w:fldCharType="separate"/>
      </w:r>
      <w:r>
        <w:rPr>
          <w:rFonts w:hint="eastAsia" w:ascii="黑体" w:eastAsia="黑体"/>
          <w:i w:val="0"/>
          <w:szCs w:val="21"/>
        </w:rPr>
        <w:t>5.1</w:t>
      </w:r>
      <w:r>
        <w:rPr>
          <w:rFonts w:hint="eastAsia" w:ascii="黑体" w:eastAsia="黑体"/>
          <w:i w:val="0"/>
          <w:szCs w:val="21"/>
          <w:lang w:val="en-US" w:eastAsia="zh-CN"/>
        </w:rPr>
        <w:t>4</w:t>
      </w:r>
      <w:r>
        <w:rPr>
          <w:rFonts w:hint="eastAsia" w:ascii="黑体" w:eastAsia="黑体"/>
          <w:i w:val="0"/>
          <w:szCs w:val="21"/>
        </w:rPr>
        <w:t>.</w:t>
      </w:r>
      <w:r>
        <w:rPr>
          <w:rFonts w:hint="eastAsia" w:ascii="黑体" w:eastAsia="黑体"/>
          <w:i w:val="0"/>
          <w:szCs w:val="21"/>
          <w:lang w:val="en-US" w:eastAsia="zh-CN"/>
        </w:rPr>
        <w:t>1</w:t>
      </w:r>
      <w:r>
        <w:rPr>
          <w:rFonts w:hint="eastAsia" w:ascii="黑体" w:eastAsia="黑体"/>
          <w:i w:val="0"/>
          <w:szCs w:val="21"/>
        </w:rPr>
        <w:t xml:space="preserve"> </w:t>
      </w:r>
      <w:r>
        <w:rPr>
          <w:rFonts w:hint="eastAsia"/>
          <w:szCs w:val="21"/>
        </w:rPr>
        <w:t>要素绩效指标</w:t>
      </w:r>
      <w:r>
        <w:tab/>
      </w:r>
      <w:r>
        <w:fldChar w:fldCharType="begin"/>
      </w:r>
      <w:r>
        <w:instrText xml:space="preserve"> PAGEREF _Toc681 \h </w:instrText>
      </w:r>
      <w:r>
        <w:fldChar w:fldCharType="separate"/>
      </w:r>
      <w:r>
        <w:t>18</w:t>
      </w:r>
      <w:r>
        <w:fldChar w:fldCharType="end"/>
      </w:r>
      <w:r>
        <w:rPr>
          <w:color w:val="auto"/>
        </w:rPr>
        <w:fldChar w:fldCharType="end"/>
      </w:r>
    </w:p>
    <w:p w14:paraId="59E76F4F">
      <w:pPr>
        <w:pStyle w:val="19"/>
        <w:tabs>
          <w:tab w:val="right" w:leader="dot" w:pos="9354"/>
        </w:tabs>
      </w:pPr>
      <w:r>
        <w:rPr>
          <w:color w:val="auto"/>
        </w:rPr>
        <w:fldChar w:fldCharType="begin"/>
      </w:r>
      <w:r>
        <w:instrText xml:space="preserve"> HYPERLINK \l _Toc28201 </w:instrText>
      </w:r>
      <w:r>
        <w:fldChar w:fldCharType="separate"/>
      </w:r>
      <w:r>
        <w:rPr>
          <w:rFonts w:hint="eastAsia" w:ascii="黑体" w:eastAsia="黑体"/>
          <w:i w:val="0"/>
          <w:szCs w:val="21"/>
        </w:rPr>
        <w:t>5.1</w:t>
      </w:r>
      <w:r>
        <w:rPr>
          <w:rFonts w:hint="eastAsia" w:ascii="黑体" w:eastAsia="黑体"/>
          <w:i w:val="0"/>
          <w:szCs w:val="21"/>
          <w:lang w:val="en-US" w:eastAsia="zh-CN"/>
        </w:rPr>
        <w:t>4</w:t>
      </w:r>
      <w:r>
        <w:rPr>
          <w:rFonts w:hint="eastAsia" w:ascii="黑体" w:eastAsia="黑体"/>
          <w:i w:val="0"/>
          <w:szCs w:val="21"/>
        </w:rPr>
        <w:t>.</w:t>
      </w:r>
      <w:r>
        <w:rPr>
          <w:rFonts w:hint="eastAsia" w:ascii="黑体" w:eastAsia="黑体"/>
          <w:i w:val="0"/>
          <w:szCs w:val="21"/>
          <w:lang w:val="en-US" w:eastAsia="zh-CN"/>
        </w:rPr>
        <w:t>2</w:t>
      </w:r>
      <w:r>
        <w:rPr>
          <w:rFonts w:hint="eastAsia" w:ascii="黑体" w:eastAsia="黑体"/>
          <w:i w:val="0"/>
          <w:szCs w:val="21"/>
        </w:rPr>
        <w:t xml:space="preserve"> </w:t>
      </w:r>
      <w:r>
        <w:rPr>
          <w:rFonts w:hint="eastAsia"/>
          <w:szCs w:val="21"/>
        </w:rPr>
        <w:t>自评</w:t>
      </w:r>
      <w:r>
        <w:tab/>
      </w:r>
      <w:r>
        <w:fldChar w:fldCharType="begin"/>
      </w:r>
      <w:r>
        <w:instrText xml:space="preserve"> PAGEREF _Toc28201 \h </w:instrText>
      </w:r>
      <w:r>
        <w:fldChar w:fldCharType="separate"/>
      </w:r>
      <w:r>
        <w:t>18</w:t>
      </w:r>
      <w:r>
        <w:fldChar w:fldCharType="end"/>
      </w:r>
      <w:r>
        <w:rPr>
          <w:color w:val="auto"/>
        </w:rPr>
        <w:fldChar w:fldCharType="end"/>
      </w:r>
    </w:p>
    <w:p w14:paraId="3919EFFE">
      <w:pPr>
        <w:pStyle w:val="23"/>
        <w:tabs>
          <w:tab w:val="right" w:leader="dot" w:pos="9354"/>
        </w:tabs>
        <w:rPr>
          <w:color w:val="auto"/>
        </w:rPr>
        <w:sectPr>
          <w:footerReference r:id="rId8" w:type="first"/>
          <w:footerReference r:id="rId7" w:type="default"/>
          <w:pgSz w:w="11906" w:h="16838"/>
          <w:pgMar w:top="567" w:right="1134" w:bottom="1134" w:left="1134" w:header="1418" w:footer="1134" w:gutter="284"/>
          <w:pgNumType w:fmt="decimal" w:start="1"/>
          <w:cols w:space="720" w:num="1"/>
          <w:formProt w:val="0"/>
          <w:titlePg/>
          <w:docGrid w:type="lines" w:linePitch="312" w:charSpace="0"/>
        </w:sectPr>
      </w:pPr>
      <w:r>
        <w:rPr>
          <w:color w:val="auto"/>
        </w:rPr>
        <w:fldChar w:fldCharType="end"/>
      </w:r>
    </w:p>
    <w:bookmarkEnd w:id="1"/>
    <w:p w14:paraId="5575AE81">
      <w:pPr>
        <w:pStyle w:val="101"/>
        <w:spacing w:after="468"/>
        <w:rPr>
          <w:color w:val="auto"/>
        </w:rPr>
      </w:pPr>
      <w:bookmarkStart w:id="9" w:name="_Toc10456"/>
      <w:bookmarkStart w:id="10" w:name="_Toc10266"/>
      <w:bookmarkStart w:id="11" w:name="_Toc4212"/>
      <w:bookmarkStart w:id="12" w:name="_Toc24576"/>
      <w:bookmarkStart w:id="13" w:name="_Toc20515"/>
      <w:bookmarkStart w:id="14" w:name="_Toc19040"/>
      <w:bookmarkStart w:id="15" w:name="_Toc27707"/>
      <w:bookmarkStart w:id="16" w:name="_Toc13757"/>
      <w:bookmarkStart w:id="17" w:name="_Toc14674"/>
      <w:bookmarkStart w:id="18" w:name="_Toc31765"/>
      <w:bookmarkStart w:id="19" w:name="_Toc24664"/>
      <w:bookmarkStart w:id="20" w:name="_Toc27581"/>
      <w:bookmarkStart w:id="21" w:name="_Toc29651"/>
      <w:bookmarkStart w:id="22" w:name="_Toc1333"/>
      <w:bookmarkStart w:id="23" w:name="_Toc8425"/>
      <w:bookmarkStart w:id="24" w:name="_Toc16782"/>
      <w:bookmarkStart w:id="25" w:name="_Toc26236"/>
      <w:bookmarkStart w:id="26" w:name="_Toc14216"/>
      <w:bookmarkStart w:id="27" w:name="_Toc3728"/>
      <w:bookmarkStart w:id="28" w:name="_Toc30592"/>
      <w:bookmarkStart w:id="29" w:name="_Toc12857"/>
      <w:bookmarkStart w:id="30" w:name="_Toc20518"/>
      <w:bookmarkStart w:id="31" w:name="_Toc20757"/>
      <w:bookmarkStart w:id="32" w:name="_Toc13961"/>
      <w:bookmarkStart w:id="33" w:name="BookMark2"/>
      <w:r>
        <w:rPr>
          <w:color w:val="auto"/>
          <w:spacing w:val="320"/>
        </w:rPr>
        <w:t>前</w:t>
      </w:r>
      <w:r>
        <w:rPr>
          <w:color w:val="auto"/>
        </w:rPr>
        <w:t>言</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6B6C3E22">
      <w:pPr>
        <w:pStyle w:val="69"/>
        <w:ind w:firstLine="420"/>
        <w:rPr>
          <w:color w:val="auto"/>
        </w:rPr>
      </w:pPr>
      <w:r>
        <w:rPr>
          <w:rFonts w:hint="eastAsia"/>
          <w:color w:val="auto"/>
        </w:rPr>
        <w:t>本文件按照GB/T 1.1-2020《标准化工作导则 第1部分：标准化文件的结构和起草规则》的规定起草。</w:t>
      </w:r>
    </w:p>
    <w:p w14:paraId="5339E515">
      <w:pPr>
        <w:pStyle w:val="69"/>
        <w:ind w:firstLine="420"/>
        <w:rPr>
          <w:rFonts w:hint="eastAsia"/>
          <w:color w:val="auto"/>
          <w:szCs w:val="22"/>
        </w:rPr>
      </w:pPr>
      <w:r>
        <w:rPr>
          <w:rFonts w:hint="eastAsia"/>
          <w:color w:val="auto"/>
          <w:szCs w:val="22"/>
        </w:rPr>
        <w:t>本文件整合AQ 3013-2008《危险化学品从业单位安全标准化通用规范》、AQ 3037-2010《硫酸生产企业安全生产标准化实施指南》、AQ 3038-2010《电石生产企业安全生产标准化实施指南》、AQ 3039-2010《溶解乙炔生产企业安全生产标准化实施指南》、AQ 3040-2010《涂料生产企业安全生产标准化实施指南》、AQ/T 3016-2008《氯碱生产企业安全标准化实施指南》、AQ/T 3017-2008《合成氨生产企业安全标准化实施指南》。</w:t>
      </w:r>
    </w:p>
    <w:p w14:paraId="27F0AB7C">
      <w:pPr>
        <w:pStyle w:val="69"/>
        <w:ind w:firstLine="420"/>
        <w:rPr>
          <w:rFonts w:hint="eastAsia" w:ascii="宋体" w:hAnsi="Times New Roman" w:eastAsia="宋体" w:cs="Times New Roman"/>
          <w:color w:val="auto"/>
          <w:szCs w:val="22"/>
        </w:rPr>
      </w:pPr>
      <w:r>
        <w:rPr>
          <w:rFonts w:hint="eastAsia" w:ascii="宋体" w:hAnsi="Times New Roman" w:eastAsia="宋体" w:cs="Times New Roman"/>
          <w:color w:val="auto"/>
          <w:szCs w:val="22"/>
        </w:rPr>
        <w:t>氯碱、合成氨、硫酸、电石、溶解乙炔、涂料等企业应依据本文件规定，针对各自工艺、设备等具体情况，开展安全生产标准化建设。</w:t>
      </w:r>
    </w:p>
    <w:p w14:paraId="481F6EE2">
      <w:pPr>
        <w:ind w:firstLine="420" w:firstLineChars="200"/>
        <w:rPr>
          <w:color w:val="auto"/>
          <w:szCs w:val="22"/>
        </w:rPr>
      </w:pPr>
      <w:r>
        <w:rPr>
          <w:color w:val="auto"/>
        </w:rPr>
        <w:t>请注意本</w:t>
      </w:r>
      <w:r>
        <w:rPr>
          <w:rFonts w:hint="eastAsia"/>
          <w:color w:val="auto"/>
        </w:rPr>
        <w:t>文件</w:t>
      </w:r>
      <w:r>
        <w:rPr>
          <w:color w:val="auto"/>
        </w:rPr>
        <w:t>的某些内容可能涉及专利</w:t>
      </w:r>
      <w:r>
        <w:rPr>
          <w:rFonts w:hint="eastAsia"/>
          <w:color w:val="auto"/>
        </w:rPr>
        <w:t>，本文件的发布机构不承担识别专利的责任。</w:t>
      </w:r>
    </w:p>
    <w:p w14:paraId="28D53C3E">
      <w:pPr>
        <w:pStyle w:val="69"/>
        <w:ind w:firstLine="420"/>
        <w:rPr>
          <w:rFonts w:hint="eastAsia"/>
          <w:color w:val="auto"/>
          <w:szCs w:val="22"/>
        </w:rPr>
      </w:pPr>
      <w:r>
        <w:rPr>
          <w:rFonts w:hint="eastAsia"/>
          <w:color w:val="auto"/>
          <w:szCs w:val="22"/>
        </w:rPr>
        <w:t>本文件由</w:t>
      </w:r>
      <w:r>
        <w:rPr>
          <w:rFonts w:hint="eastAsia" w:hAnsi="宋体"/>
          <w:color w:val="auto"/>
        </w:rPr>
        <w:t>中华人民共和国</w:t>
      </w:r>
      <w:r>
        <w:rPr>
          <w:rFonts w:hint="eastAsia"/>
          <w:color w:val="auto"/>
          <w:szCs w:val="22"/>
        </w:rPr>
        <w:t>应急管理部提出并归口。</w:t>
      </w:r>
    </w:p>
    <w:p w14:paraId="3CF04578">
      <w:pPr>
        <w:pStyle w:val="69"/>
        <w:ind w:firstLine="420"/>
        <w:rPr>
          <w:rFonts w:hint="eastAsia"/>
          <w:color w:val="auto"/>
          <w:szCs w:val="22"/>
        </w:rPr>
      </w:pPr>
      <w:r>
        <w:rPr>
          <w:rFonts w:hint="eastAsia"/>
          <w:color w:val="auto"/>
          <w:szCs w:val="22"/>
        </w:rPr>
        <w:t>本文件为首次发布。</w:t>
      </w:r>
    </w:p>
    <w:p w14:paraId="6BEFC052">
      <w:pPr>
        <w:pStyle w:val="69"/>
        <w:ind w:firstLine="420"/>
        <w:rPr>
          <w:rFonts w:hint="eastAsia"/>
          <w:color w:val="auto"/>
          <w:szCs w:val="22"/>
        </w:rPr>
      </w:pPr>
    </w:p>
    <w:p w14:paraId="7CFED770">
      <w:pPr>
        <w:pStyle w:val="69"/>
        <w:ind w:firstLine="420"/>
        <w:rPr>
          <w:color w:val="auto"/>
        </w:rPr>
        <w:sectPr>
          <w:headerReference r:id="rId9" w:type="default"/>
          <w:footerReference r:id="rId11" w:type="default"/>
          <w:headerReference r:id="rId10" w:type="even"/>
          <w:footerReference r:id="rId12" w:type="even"/>
          <w:pgSz w:w="11906" w:h="16838"/>
          <w:pgMar w:top="567" w:right="1134" w:bottom="1134" w:left="1134" w:header="1418" w:footer="1134" w:gutter="284"/>
          <w:pgNumType w:fmt="decimal"/>
          <w:cols w:space="720" w:num="1"/>
          <w:formProt w:val="0"/>
          <w:docGrid w:type="lines" w:linePitch="312" w:charSpace="0"/>
        </w:sectPr>
      </w:pPr>
    </w:p>
    <w:bookmarkEnd w:id="33"/>
    <w:p w14:paraId="6F760248">
      <w:pPr>
        <w:spacing w:line="20" w:lineRule="exact"/>
        <w:jc w:val="center"/>
        <w:rPr>
          <w:rFonts w:ascii="黑体" w:hAnsi="黑体" w:eastAsia="黑体"/>
          <w:color w:val="auto"/>
          <w:sz w:val="32"/>
          <w:szCs w:val="32"/>
        </w:rPr>
      </w:pPr>
      <w:bookmarkStart w:id="34" w:name="BookMark4"/>
    </w:p>
    <w:p w14:paraId="65DEA08B">
      <w:pPr>
        <w:spacing w:line="20" w:lineRule="exact"/>
        <w:jc w:val="center"/>
        <w:rPr>
          <w:rFonts w:ascii="黑体" w:hAnsi="黑体" w:eastAsia="黑体"/>
          <w:color w:val="auto"/>
          <w:sz w:val="32"/>
          <w:szCs w:val="32"/>
        </w:rPr>
      </w:pPr>
    </w:p>
    <w:p w14:paraId="78D5AB50">
      <w:pPr>
        <w:pStyle w:val="184"/>
        <w:spacing w:before="321" w:beforeLines="100" w:after="706" w:afterLines="220"/>
        <w:rPr>
          <w:color w:val="auto"/>
        </w:rPr>
      </w:pPr>
      <w:bookmarkStart w:id="35" w:name="NEW_STAND_NAME"/>
      <w:r>
        <w:rPr>
          <w:rFonts w:hint="eastAsia"/>
          <w:color w:val="auto"/>
        </w:rPr>
        <w:t>危险化学品企业安全生产标准化通用规范</w:t>
      </w:r>
    </w:p>
    <w:bookmarkEnd w:id="35"/>
    <w:p w14:paraId="26154AC0">
      <w:pPr>
        <w:pStyle w:val="113"/>
        <w:spacing w:before="321" w:after="321"/>
        <w:rPr>
          <w:color w:val="auto"/>
          <w:szCs w:val="21"/>
        </w:rPr>
      </w:pPr>
      <w:bookmarkStart w:id="36" w:name="_Toc20555"/>
      <w:bookmarkStart w:id="37" w:name="_Toc16176"/>
      <w:bookmarkStart w:id="38" w:name="_Toc26986771"/>
      <w:bookmarkStart w:id="39" w:name="_Toc26718930"/>
      <w:bookmarkStart w:id="40" w:name="_Toc32248"/>
      <w:bookmarkStart w:id="41" w:name="_Toc19901"/>
      <w:bookmarkStart w:id="42" w:name="_Toc26648465"/>
      <w:bookmarkStart w:id="43" w:name="_Toc11883"/>
      <w:bookmarkStart w:id="44" w:name="_Toc19073"/>
      <w:bookmarkStart w:id="45" w:name="_Toc27838"/>
      <w:bookmarkStart w:id="46" w:name="_Toc30613"/>
      <w:bookmarkStart w:id="47" w:name="_Toc17233325"/>
      <w:bookmarkStart w:id="48" w:name="_Toc18557"/>
      <w:bookmarkStart w:id="49" w:name="_Toc24884211"/>
      <w:bookmarkStart w:id="50" w:name="_Toc15308"/>
      <w:bookmarkStart w:id="51" w:name="_Toc6391"/>
      <w:bookmarkStart w:id="52" w:name="_Toc6313"/>
      <w:bookmarkStart w:id="53" w:name="_Toc26143"/>
      <w:bookmarkStart w:id="54" w:name="_Toc12661"/>
      <w:bookmarkStart w:id="55" w:name="_Toc7323"/>
      <w:bookmarkStart w:id="56" w:name="_Toc13617"/>
      <w:bookmarkStart w:id="57" w:name="_Toc24884218"/>
      <w:bookmarkStart w:id="58" w:name="_Toc17233333"/>
      <w:bookmarkStart w:id="59" w:name="_Toc30081"/>
      <w:bookmarkStart w:id="60" w:name="_Toc24782"/>
      <w:bookmarkStart w:id="61" w:name="_Toc22330"/>
      <w:bookmarkStart w:id="62" w:name="_Toc25361"/>
      <w:bookmarkStart w:id="63" w:name="_Toc29097"/>
      <w:bookmarkStart w:id="64" w:name="_Toc11303"/>
      <w:bookmarkStart w:id="65" w:name="_Toc17250"/>
      <w:bookmarkStart w:id="66" w:name="_Toc26986530"/>
      <w:r>
        <w:rPr>
          <w:rFonts w:hint="eastAsia"/>
          <w:color w:val="auto"/>
          <w:szCs w:val="21"/>
        </w:rPr>
        <w:t>范围</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7F3FA418">
      <w:pPr>
        <w:pStyle w:val="69"/>
        <w:ind w:firstLine="420"/>
        <w:rPr>
          <w:color w:val="auto"/>
          <w:szCs w:val="21"/>
        </w:rPr>
      </w:pPr>
      <w:bookmarkStart w:id="67" w:name="_Toc26648466"/>
      <w:bookmarkStart w:id="68" w:name="_Toc24884212"/>
      <w:bookmarkStart w:id="69" w:name="_Toc24884219"/>
      <w:bookmarkStart w:id="70" w:name="_Toc17233334"/>
      <w:bookmarkStart w:id="71" w:name="_Toc17233326"/>
      <w:r>
        <w:rPr>
          <w:rFonts w:hint="eastAsia"/>
          <w:color w:val="auto"/>
          <w:szCs w:val="21"/>
        </w:rPr>
        <w:t>本文件规定了危险化学品企业开展安全生产标准化工作的一般要求和</w:t>
      </w:r>
      <w:r>
        <w:rPr>
          <w:rFonts w:hint="eastAsia"/>
          <w:color w:val="auto"/>
          <w:szCs w:val="21"/>
          <w:lang w:val="en-US" w:eastAsia="zh-CN"/>
        </w:rPr>
        <w:t>管理</w:t>
      </w:r>
      <w:r>
        <w:rPr>
          <w:rFonts w:hint="eastAsia"/>
          <w:color w:val="auto"/>
          <w:szCs w:val="21"/>
        </w:rPr>
        <w:t>要素。</w:t>
      </w:r>
    </w:p>
    <w:p w14:paraId="34F3EF03">
      <w:pPr>
        <w:pStyle w:val="69"/>
        <w:ind w:firstLine="420"/>
        <w:rPr>
          <w:color w:val="auto"/>
          <w:szCs w:val="21"/>
        </w:rPr>
      </w:pPr>
      <w:r>
        <w:rPr>
          <w:rFonts w:hint="eastAsia"/>
          <w:color w:val="auto"/>
          <w:szCs w:val="21"/>
        </w:rPr>
        <w:t>本文件适用于危险化学品生产</w:t>
      </w:r>
      <w:r>
        <w:rPr>
          <w:rFonts w:hint="eastAsia"/>
          <w:color w:val="auto"/>
          <w:szCs w:val="21"/>
          <w:lang w:eastAsia="zh-CN"/>
        </w:rPr>
        <w:t>企业、</w:t>
      </w:r>
      <w:r>
        <w:rPr>
          <w:rFonts w:hint="eastAsia"/>
          <w:color w:val="auto"/>
          <w:szCs w:val="21"/>
        </w:rPr>
        <w:t>使用危险化学品从事生产的</w:t>
      </w:r>
      <w:r>
        <w:rPr>
          <w:rFonts w:hint="eastAsia"/>
          <w:color w:val="auto"/>
          <w:szCs w:val="21"/>
          <w:highlight w:val="none"/>
        </w:rPr>
        <w:t>化工企业，以及</w:t>
      </w:r>
      <w:r>
        <w:rPr>
          <w:rFonts w:hint="eastAsia"/>
          <w:color w:val="auto"/>
          <w:szCs w:val="21"/>
          <w:highlight w:val="none"/>
          <w:lang w:val="en-US" w:eastAsia="zh-CN"/>
        </w:rPr>
        <w:t>储存</w:t>
      </w:r>
      <w:r>
        <w:rPr>
          <w:rFonts w:hint="eastAsia"/>
          <w:color w:val="auto"/>
          <w:szCs w:val="21"/>
        </w:rPr>
        <w:t>危险化学品</w:t>
      </w:r>
      <w:r>
        <w:rPr>
          <w:rFonts w:hint="eastAsia"/>
          <w:color w:val="auto"/>
          <w:szCs w:val="21"/>
          <w:lang w:val="en-US" w:eastAsia="zh-CN"/>
        </w:rPr>
        <w:t>经营</w:t>
      </w:r>
      <w:bookmarkStart w:id="72" w:name="OLE_LINK14"/>
      <w:r>
        <w:rPr>
          <w:rFonts w:hint="eastAsia"/>
          <w:color w:val="auto"/>
          <w:szCs w:val="21"/>
          <w:lang w:val="en-US" w:eastAsia="zh-CN"/>
        </w:rPr>
        <w:t>的</w:t>
      </w:r>
      <w:bookmarkEnd w:id="72"/>
      <w:r>
        <w:rPr>
          <w:rFonts w:hint="eastAsia"/>
          <w:color w:val="auto"/>
          <w:szCs w:val="21"/>
        </w:rPr>
        <w:t>企业。</w:t>
      </w:r>
    </w:p>
    <w:p w14:paraId="6FDAD1E2">
      <w:pPr>
        <w:pStyle w:val="113"/>
        <w:spacing w:before="321" w:after="321"/>
        <w:rPr>
          <w:color w:val="auto"/>
          <w:szCs w:val="21"/>
        </w:rPr>
      </w:pPr>
      <w:bookmarkStart w:id="73" w:name="_Toc5246"/>
      <w:bookmarkStart w:id="74" w:name="_Toc22798"/>
      <w:bookmarkStart w:id="75" w:name="_Toc12768"/>
      <w:bookmarkStart w:id="76" w:name="_Toc15665"/>
      <w:bookmarkStart w:id="77" w:name="_Toc12867"/>
      <w:bookmarkStart w:id="78" w:name="_Toc18328"/>
      <w:bookmarkStart w:id="79" w:name="_Toc7611"/>
      <w:bookmarkStart w:id="80" w:name="_Toc5783"/>
      <w:bookmarkStart w:id="81" w:name="_Toc23465"/>
      <w:bookmarkStart w:id="82" w:name="_Toc9597"/>
      <w:bookmarkStart w:id="83" w:name="_Toc26718931"/>
      <w:bookmarkStart w:id="84" w:name="_Toc14164"/>
      <w:bookmarkStart w:id="85" w:name="_Toc3473"/>
      <w:bookmarkStart w:id="86" w:name="_Toc8617"/>
      <w:bookmarkStart w:id="87" w:name="_Toc4986"/>
      <w:bookmarkStart w:id="88" w:name="_Toc25488"/>
      <w:bookmarkStart w:id="89" w:name="_Toc29114"/>
      <w:bookmarkStart w:id="90" w:name="_Toc10200"/>
      <w:bookmarkStart w:id="91" w:name="_Toc7884"/>
      <w:bookmarkStart w:id="92" w:name="_Toc29679"/>
      <w:bookmarkStart w:id="93" w:name="_Toc26986772"/>
      <w:bookmarkStart w:id="94" w:name="_Toc24626"/>
      <w:bookmarkStart w:id="95" w:name="_Toc26986531"/>
      <w:bookmarkStart w:id="96" w:name="_Toc6964"/>
      <w:bookmarkStart w:id="97" w:name="_Toc31894"/>
      <w:bookmarkStart w:id="98" w:name="_Toc31275"/>
      <w:r>
        <w:rPr>
          <w:rFonts w:hint="eastAsia"/>
          <w:color w:val="auto"/>
          <w:szCs w:val="21"/>
        </w:rPr>
        <w:t>规范性引用文件</w:t>
      </w:r>
      <w:bookmarkEnd w:id="67"/>
      <w:bookmarkEnd w:id="68"/>
      <w:bookmarkEnd w:id="69"/>
      <w:bookmarkEnd w:id="70"/>
      <w:bookmarkEnd w:id="71"/>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14A4C56A">
      <w:pPr>
        <w:pStyle w:val="69"/>
        <w:ind w:firstLine="420"/>
        <w:rPr>
          <w:color w:val="auto"/>
          <w:szCs w:val="21"/>
        </w:rPr>
      </w:pPr>
      <w:r>
        <w:rPr>
          <w:rFonts w:hint="eastAsia"/>
          <w:color w:val="auto"/>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C43FC7C">
      <w:pPr>
        <w:pStyle w:val="69"/>
        <w:ind w:firstLine="420"/>
        <w:rPr>
          <w:color w:val="auto"/>
          <w:szCs w:val="21"/>
        </w:rPr>
      </w:pPr>
      <w:r>
        <w:rPr>
          <w:bCs/>
          <w:color w:val="auto"/>
          <w:szCs w:val="21"/>
        </w:rPr>
        <w:t>GB</w:t>
      </w:r>
      <w:r>
        <w:rPr>
          <w:rFonts w:hint="eastAsia"/>
          <w:bCs/>
          <w:color w:val="auto"/>
          <w:szCs w:val="21"/>
        </w:rPr>
        <w:t xml:space="preserve"> </w:t>
      </w:r>
      <w:r>
        <w:rPr>
          <w:bCs/>
          <w:color w:val="auto"/>
          <w:szCs w:val="21"/>
        </w:rPr>
        <w:t>15258</w:t>
      </w:r>
      <w:r>
        <w:rPr>
          <w:rFonts w:hint="eastAsia"/>
          <w:bCs/>
          <w:color w:val="auto"/>
          <w:szCs w:val="21"/>
        </w:rPr>
        <w:t xml:space="preserve">  </w:t>
      </w:r>
      <w:r>
        <w:rPr>
          <w:color w:val="auto"/>
          <w:szCs w:val="21"/>
        </w:rPr>
        <w:t>化学品安全标签编写规定</w:t>
      </w:r>
    </w:p>
    <w:p w14:paraId="6677B422">
      <w:pPr>
        <w:pStyle w:val="69"/>
        <w:ind w:firstLine="420"/>
        <w:rPr>
          <w:color w:val="auto"/>
          <w:szCs w:val="21"/>
        </w:rPr>
      </w:pPr>
      <w:r>
        <w:rPr>
          <w:rFonts w:hint="eastAsia"/>
          <w:color w:val="auto"/>
          <w:szCs w:val="21"/>
        </w:rPr>
        <w:t>GB 18218  危险化学品重大危险源辨识</w:t>
      </w:r>
    </w:p>
    <w:p w14:paraId="02960B89">
      <w:pPr>
        <w:pStyle w:val="69"/>
        <w:ind w:firstLine="420"/>
        <w:rPr>
          <w:color w:val="auto"/>
          <w:szCs w:val="21"/>
        </w:rPr>
      </w:pPr>
      <w:r>
        <w:rPr>
          <w:rFonts w:hint="eastAsia"/>
          <w:color w:val="auto"/>
          <w:szCs w:val="21"/>
          <w:lang w:bidi="ar"/>
        </w:rPr>
        <w:t>GB 30000（所有部分）化学品分类和标签规范</w:t>
      </w:r>
    </w:p>
    <w:p w14:paraId="1AAF2A30">
      <w:pPr>
        <w:pStyle w:val="69"/>
        <w:ind w:firstLine="420"/>
        <w:rPr>
          <w:rFonts w:hint="eastAsia"/>
          <w:color w:val="auto"/>
          <w:szCs w:val="21"/>
        </w:rPr>
      </w:pPr>
      <w:r>
        <w:rPr>
          <w:rFonts w:hint="eastAsia"/>
          <w:color w:val="auto"/>
          <w:szCs w:val="21"/>
        </w:rPr>
        <w:t>GB 30077  危险化学品单位应急物资配备要求</w:t>
      </w:r>
    </w:p>
    <w:p w14:paraId="76897B01">
      <w:pPr>
        <w:pStyle w:val="69"/>
        <w:ind w:firstLine="420"/>
        <w:rPr>
          <w:rFonts w:hint="eastAsia"/>
          <w:color w:val="auto"/>
          <w:szCs w:val="21"/>
        </w:rPr>
      </w:pPr>
      <w:r>
        <w:rPr>
          <w:rFonts w:hint="eastAsia"/>
          <w:color w:val="auto"/>
          <w:szCs w:val="21"/>
        </w:rPr>
        <w:t>GB 30871  危险化学品企业特殊作业安全规范</w:t>
      </w:r>
    </w:p>
    <w:p w14:paraId="3E44DC2B">
      <w:pPr>
        <w:pStyle w:val="113"/>
        <w:spacing w:before="321" w:after="321"/>
        <w:rPr>
          <w:color w:val="auto"/>
          <w:szCs w:val="21"/>
        </w:rPr>
      </w:pPr>
      <w:bookmarkStart w:id="99" w:name="_Toc12845"/>
      <w:bookmarkStart w:id="100" w:name="_Toc32359"/>
      <w:bookmarkStart w:id="101" w:name="_Toc5964"/>
      <w:bookmarkStart w:id="102" w:name="_Toc6282"/>
      <w:bookmarkStart w:id="103" w:name="_Toc14338"/>
      <w:bookmarkStart w:id="104" w:name="_Toc32647"/>
      <w:bookmarkStart w:id="105" w:name="_Toc4819"/>
      <w:bookmarkStart w:id="106" w:name="_Toc5808"/>
      <w:bookmarkStart w:id="107" w:name="_Toc12627"/>
      <w:bookmarkStart w:id="108" w:name="_Toc24585"/>
      <w:bookmarkStart w:id="109" w:name="_Toc4207"/>
      <w:bookmarkStart w:id="110" w:name="_Toc23674"/>
      <w:bookmarkStart w:id="111" w:name="_Toc9736"/>
      <w:bookmarkStart w:id="112" w:name="_Toc9166"/>
      <w:bookmarkStart w:id="113" w:name="_Toc23508"/>
      <w:bookmarkStart w:id="114" w:name="_Toc30328"/>
      <w:bookmarkStart w:id="115" w:name="_Toc18685"/>
      <w:bookmarkStart w:id="116" w:name="_Toc9835"/>
      <w:bookmarkStart w:id="117" w:name="_Toc6376"/>
      <w:bookmarkStart w:id="118" w:name="_Toc12694"/>
      <w:bookmarkStart w:id="119" w:name="_Toc28971"/>
      <w:bookmarkStart w:id="120" w:name="_Toc9566"/>
      <w:bookmarkStart w:id="121" w:name="_Toc24171"/>
      <w:r>
        <w:rPr>
          <w:rFonts w:hint="eastAsia"/>
          <w:color w:val="auto"/>
          <w:szCs w:val="21"/>
        </w:rPr>
        <w:t>术语和定义</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46200FF0">
      <w:pPr>
        <w:pStyle w:val="69"/>
        <w:ind w:firstLine="420"/>
        <w:rPr>
          <w:color w:val="auto"/>
          <w:szCs w:val="21"/>
        </w:rPr>
      </w:pPr>
      <w:bookmarkStart w:id="122" w:name="_Toc26986532"/>
      <w:bookmarkEnd w:id="122"/>
      <w:r>
        <w:rPr>
          <w:color w:val="auto"/>
          <w:szCs w:val="21"/>
        </w:rPr>
        <w:t>下列术语和定义适用于本文件。</w:t>
      </w:r>
    </w:p>
    <w:p w14:paraId="7333BD42">
      <w:pPr>
        <w:pStyle w:val="227"/>
        <w:ind w:left="420" w:hanging="420" w:hangingChars="200"/>
        <w:rPr>
          <w:rFonts w:ascii="黑体" w:hAnsi="黑体" w:eastAsia="黑体"/>
          <w:color w:val="auto"/>
          <w:szCs w:val="21"/>
        </w:rPr>
      </w:pPr>
    </w:p>
    <w:p w14:paraId="06A6D125">
      <w:pPr>
        <w:pStyle w:val="227"/>
        <w:numPr>
          <w:ilvl w:val="0"/>
          <w:numId w:val="0"/>
        </w:numPr>
        <w:ind w:left="420"/>
        <w:rPr>
          <w:rFonts w:ascii="黑体" w:hAnsi="黑体" w:eastAsia="黑体" w:cs="黑体"/>
          <w:color w:val="auto"/>
          <w:szCs w:val="21"/>
        </w:rPr>
      </w:pPr>
      <w:r>
        <w:rPr>
          <w:rFonts w:hint="eastAsia" w:ascii="黑体" w:hAnsi="黑体" w:eastAsia="黑体" w:cs="黑体"/>
          <w:color w:val="auto"/>
          <w:szCs w:val="21"/>
        </w:rPr>
        <w:t xml:space="preserve">安全领导力 safety leadership </w:t>
      </w:r>
    </w:p>
    <w:p w14:paraId="67017ED7">
      <w:pPr>
        <w:autoSpaceDE w:val="0"/>
        <w:autoSpaceDN w:val="0"/>
        <w:spacing w:line="240" w:lineRule="auto"/>
        <w:ind w:firstLine="420" w:firstLineChars="200"/>
        <w:jc w:val="left"/>
        <w:rPr>
          <w:rFonts w:hint="eastAsia" w:ascii="宋体" w:cs="宋体"/>
          <w:color w:val="auto"/>
        </w:rPr>
      </w:pPr>
      <w:r>
        <w:rPr>
          <w:rFonts w:hint="eastAsia" w:ascii="宋体" w:cs="宋体"/>
          <w:color w:val="auto"/>
        </w:rPr>
        <w:t>企业各层级领导者在管辖的范围内</w:t>
      </w:r>
      <w:r>
        <w:rPr>
          <w:rFonts w:hint="eastAsia" w:ascii="宋体" w:cs="宋体"/>
          <w:color w:val="auto"/>
          <w:lang w:eastAsia="zh-CN"/>
        </w:rPr>
        <w:t>领导</w:t>
      </w:r>
      <w:r>
        <w:rPr>
          <w:rFonts w:hint="eastAsia" w:ascii="宋体" w:cs="宋体"/>
          <w:color w:val="auto"/>
        </w:rPr>
        <w:t>团队实现安全生产目标的能力。</w:t>
      </w:r>
    </w:p>
    <w:p w14:paraId="11C1B558">
      <w:pPr>
        <w:pStyle w:val="227"/>
        <w:ind w:left="420" w:hanging="420" w:hangingChars="200"/>
        <w:rPr>
          <w:rFonts w:ascii="黑体" w:hAnsi="黑体" w:eastAsia="黑体"/>
          <w:color w:val="auto"/>
          <w:szCs w:val="21"/>
        </w:rPr>
      </w:pPr>
    </w:p>
    <w:p w14:paraId="0251D624">
      <w:pPr>
        <w:pStyle w:val="227"/>
        <w:numPr>
          <w:ilvl w:val="0"/>
          <w:numId w:val="0"/>
        </w:numPr>
        <w:ind w:left="-420" w:leftChars="-200" w:firstLine="840" w:firstLineChars="400"/>
        <w:rPr>
          <w:rFonts w:hint="eastAsia" w:ascii="黑体" w:hAnsi="黑体" w:eastAsia="黑体" w:cs="黑体"/>
          <w:color w:val="auto"/>
          <w:szCs w:val="21"/>
          <w:highlight w:val="none"/>
        </w:rPr>
      </w:pPr>
      <w:r>
        <w:rPr>
          <w:rFonts w:hint="eastAsia" w:ascii="黑体" w:hAnsi="黑体" w:eastAsia="黑体" w:cs="黑体"/>
          <w:color w:val="auto"/>
          <w:szCs w:val="21"/>
          <w:highlight w:val="none"/>
          <w:lang w:val="en-US" w:eastAsia="zh-CN"/>
        </w:rPr>
        <w:t>有感领导</w:t>
      </w:r>
      <w:r>
        <w:rPr>
          <w:rFonts w:hint="eastAsia" w:ascii="黑体" w:hAnsi="黑体" w:eastAsia="黑体" w:cs="黑体"/>
          <w:color w:val="auto"/>
          <w:szCs w:val="21"/>
          <w:highlight w:val="none"/>
        </w:rPr>
        <w:t xml:space="preserve"> </w:t>
      </w:r>
      <w:r>
        <w:rPr>
          <w:rFonts w:hint="default" w:ascii="黑体" w:hAnsi="黑体" w:eastAsia="黑体" w:cs="黑体"/>
          <w:color w:val="auto"/>
          <w:szCs w:val="21"/>
          <w:highlight w:val="none"/>
        </w:rPr>
        <w:t>f</w:t>
      </w:r>
      <w:r>
        <w:rPr>
          <w:rFonts w:hint="eastAsia" w:ascii="黑体" w:hAnsi="黑体" w:eastAsia="黑体" w:cs="黑体"/>
          <w:color w:val="auto"/>
          <w:szCs w:val="21"/>
          <w:highlight w:val="none"/>
        </w:rPr>
        <w:t xml:space="preserve">elt </w:t>
      </w:r>
      <w:r>
        <w:rPr>
          <w:rFonts w:hint="eastAsia" w:ascii="黑体" w:hAnsi="黑体" w:eastAsia="黑体" w:cs="黑体"/>
          <w:color w:val="auto"/>
          <w:szCs w:val="21"/>
          <w:highlight w:val="none"/>
          <w:lang w:val="en-US" w:eastAsia="zh-CN"/>
        </w:rPr>
        <w:t>l</w:t>
      </w:r>
      <w:r>
        <w:rPr>
          <w:rFonts w:hint="eastAsia" w:ascii="黑体" w:hAnsi="黑体" w:eastAsia="黑体" w:cs="黑体"/>
          <w:color w:val="auto"/>
          <w:szCs w:val="21"/>
          <w:highlight w:val="none"/>
        </w:rPr>
        <w:t>eadership</w:t>
      </w:r>
    </w:p>
    <w:p w14:paraId="6F66482A">
      <w:pPr>
        <w:autoSpaceDE w:val="0"/>
        <w:autoSpaceDN w:val="0"/>
        <w:spacing w:line="240" w:lineRule="auto"/>
        <w:ind w:firstLine="420" w:firstLineChars="200"/>
        <w:jc w:val="left"/>
        <w:rPr>
          <w:rFonts w:hint="eastAsia" w:ascii="宋体" w:hAnsi="Times New Roman" w:eastAsia="宋体" w:cs="宋体"/>
          <w:color w:val="auto"/>
          <w:kern w:val="0"/>
          <w:lang w:val="en-US" w:eastAsia="zh-CN"/>
        </w:rPr>
      </w:pPr>
      <w:r>
        <w:rPr>
          <w:rFonts w:hint="eastAsia" w:ascii="宋体" w:hAnsi="Times New Roman" w:eastAsia="宋体" w:cs="宋体"/>
          <w:i w:val="0"/>
          <w:iCs w:val="0"/>
          <w:caps w:val="0"/>
          <w:color w:val="auto"/>
          <w:spacing w:val="0"/>
          <w:kern w:val="0"/>
          <w:sz w:val="21"/>
          <w:szCs w:val="21"/>
          <w:shd w:val="clear" w:color="auto" w:fill="auto"/>
        </w:rPr>
        <w:t>企业的各级领导通过自身的行为和言语，向员工传达对安全的重视，从而影响和感染员工，使他们深刻体会到安全工作的重要性</w:t>
      </w:r>
      <w:r>
        <w:rPr>
          <w:rFonts w:hint="eastAsia" w:ascii="宋体" w:hAnsi="Times New Roman" w:eastAsia="宋体" w:cs="宋体"/>
          <w:color w:val="auto"/>
          <w:kern w:val="0"/>
          <w:lang w:val="en-US" w:eastAsia="zh-CN"/>
        </w:rPr>
        <w:t>。</w:t>
      </w:r>
    </w:p>
    <w:p w14:paraId="14074788">
      <w:pPr>
        <w:pStyle w:val="227"/>
        <w:ind w:left="420" w:hanging="420" w:hangingChars="200"/>
        <w:rPr>
          <w:rFonts w:ascii="黑体" w:hAnsi="黑体" w:eastAsia="黑体"/>
          <w:color w:val="auto"/>
          <w:szCs w:val="21"/>
        </w:rPr>
      </w:pPr>
    </w:p>
    <w:p w14:paraId="75EB2E32">
      <w:pPr>
        <w:pStyle w:val="227"/>
        <w:numPr>
          <w:ilvl w:val="0"/>
          <w:numId w:val="0"/>
        </w:numPr>
        <w:ind w:left="-420" w:leftChars="-200" w:firstLine="840" w:firstLineChars="400"/>
        <w:rPr>
          <w:rFonts w:ascii="黑体" w:hAnsi="黑体" w:eastAsia="黑体"/>
          <w:color w:val="auto"/>
          <w:szCs w:val="21"/>
        </w:rPr>
      </w:pPr>
      <w:r>
        <w:rPr>
          <w:rFonts w:hint="eastAsia" w:ascii="黑体" w:hAnsi="黑体" w:eastAsia="黑体" w:cs="黑体"/>
          <w:color w:val="auto"/>
          <w:szCs w:val="21"/>
        </w:rPr>
        <w:t>化工过程安全管理</w:t>
      </w:r>
      <w:r>
        <w:rPr>
          <w:rFonts w:ascii="黑体" w:hAnsi="黑体" w:eastAsia="黑体" w:cs="黑体"/>
          <w:color w:val="auto"/>
          <w:szCs w:val="21"/>
        </w:rPr>
        <w:t xml:space="preserve"> </w:t>
      </w:r>
      <w:r>
        <w:rPr>
          <w:rFonts w:hint="eastAsia" w:ascii="黑体" w:hAnsi="黑体" w:eastAsia="黑体" w:cs="黑体"/>
          <w:color w:val="auto"/>
          <w:szCs w:val="21"/>
        </w:rPr>
        <w:t>chemical process safety management</w:t>
      </w:r>
      <w:r>
        <w:rPr>
          <w:rFonts w:ascii="黑体" w:hAnsi="黑体" w:eastAsia="黑体"/>
          <w:color w:val="auto"/>
          <w:szCs w:val="21"/>
        </w:rPr>
        <w:t xml:space="preserve"> </w:t>
      </w:r>
    </w:p>
    <w:p w14:paraId="5ECB942B">
      <w:pPr>
        <w:keepNext w:val="0"/>
        <w:keepLines w:val="0"/>
        <w:widowControl/>
        <w:suppressLineNumbers w:val="0"/>
        <w:kinsoku w:val="0"/>
        <w:autoSpaceDE w:val="0"/>
        <w:autoSpaceDN w:val="0"/>
        <w:adjustRightInd w:val="0"/>
        <w:snapToGrid w:val="0"/>
        <w:spacing w:before="0" w:beforeAutospacing="0" w:after="0" w:afterAutospacing="0" w:line="240" w:lineRule="auto"/>
        <w:ind w:left="0" w:right="0" w:firstLine="420" w:firstLineChars="200"/>
        <w:jc w:val="left"/>
        <w:textAlignment w:val="baseline"/>
        <w:rPr>
          <w:rFonts w:ascii="宋体" w:hAnsi="Times New Roman" w:cs="宋体"/>
          <w:color w:val="auto"/>
          <w:kern w:val="0"/>
        </w:rPr>
      </w:pPr>
      <w:r>
        <w:rPr>
          <w:rFonts w:hint="eastAsia" w:ascii="宋体" w:hAnsi="Times New Roman" w:cs="宋体"/>
          <w:color w:val="auto"/>
          <w:kern w:val="0"/>
        </w:rPr>
        <w:t>通过对化学品生产 、储存 、使用 、处置 、操作等活动过程涉及的工艺 、设备 、仪表 、电气等系统进行管理和技术控制,从根本上管控</w:t>
      </w:r>
      <w:r>
        <w:rPr>
          <w:rFonts w:hint="eastAsia" w:ascii="宋体" w:hAnsi="Times New Roman" w:cs="宋体"/>
          <w:color w:val="auto"/>
          <w:kern w:val="0"/>
          <w:lang w:eastAsia="zh-CN"/>
        </w:rPr>
        <w:t>安全风险</w:t>
      </w:r>
      <w:r>
        <w:rPr>
          <w:rFonts w:hint="eastAsia" w:ascii="宋体" w:hAnsi="Times New Roman" w:cs="宋体"/>
          <w:color w:val="auto"/>
          <w:kern w:val="0"/>
        </w:rPr>
        <w:t>、消除隐患,预防化学品泄漏或能量意外释放造成的安全事故</w:t>
      </w:r>
      <w:r>
        <w:rPr>
          <w:rFonts w:hint="default" w:ascii="宋体" w:hAnsi="Times New Roman" w:cs="宋体"/>
          <w:color w:val="auto"/>
          <w:kern w:val="0"/>
        </w:rPr>
        <w:t>。</w:t>
      </w:r>
      <w:r>
        <w:rPr>
          <w:rFonts w:ascii="宋体" w:hAnsi="Times New Roman" w:cs="宋体"/>
          <w:color w:val="auto"/>
          <w:kern w:val="0"/>
        </w:rPr>
        <w:t xml:space="preserve"> </w:t>
      </w:r>
    </w:p>
    <w:p w14:paraId="067618F8">
      <w:pPr>
        <w:pStyle w:val="227"/>
        <w:ind w:left="420" w:hanging="420" w:hangingChars="200"/>
        <w:rPr>
          <w:rFonts w:ascii="黑体" w:hAnsi="黑体" w:eastAsia="黑体"/>
          <w:color w:val="auto"/>
          <w:szCs w:val="21"/>
        </w:rPr>
      </w:pPr>
    </w:p>
    <w:p w14:paraId="58FA25D9">
      <w:pPr>
        <w:pStyle w:val="227"/>
        <w:numPr>
          <w:ilvl w:val="0"/>
          <w:numId w:val="0"/>
        </w:numPr>
        <w:ind w:left="-420" w:leftChars="-200" w:firstLine="840" w:firstLineChars="400"/>
        <w:rPr>
          <w:rFonts w:ascii="黑体" w:hAnsi="黑体" w:eastAsia="黑体"/>
          <w:color w:val="auto"/>
          <w:szCs w:val="21"/>
        </w:rPr>
      </w:pPr>
      <w:r>
        <w:rPr>
          <w:rFonts w:hint="eastAsia" w:ascii="黑体" w:hAnsi="黑体" w:eastAsia="黑体" w:cs="黑体"/>
          <w:color w:val="auto"/>
          <w:szCs w:val="21"/>
        </w:rPr>
        <w:t>危险、有害因素</w:t>
      </w:r>
      <w:r>
        <w:rPr>
          <w:rFonts w:ascii="黑体" w:hAnsi="黑体" w:eastAsia="黑体" w:cs="黑体"/>
          <w:color w:val="auto"/>
          <w:szCs w:val="21"/>
        </w:rPr>
        <w:t xml:space="preserve"> </w:t>
      </w:r>
      <w:r>
        <w:rPr>
          <w:rFonts w:hint="eastAsia" w:ascii="黑体" w:hAnsi="黑体" w:eastAsia="黑体"/>
          <w:color w:val="auto"/>
          <w:szCs w:val="21"/>
        </w:rPr>
        <w:t>hazardous and harmful factors</w:t>
      </w:r>
    </w:p>
    <w:p w14:paraId="22F1BE38">
      <w:pPr>
        <w:autoSpaceDE w:val="0"/>
        <w:autoSpaceDN w:val="0"/>
        <w:spacing w:line="240" w:lineRule="auto"/>
        <w:ind w:firstLine="420" w:firstLineChars="200"/>
        <w:jc w:val="left"/>
        <w:rPr>
          <w:rFonts w:hint="eastAsia" w:ascii="宋体" w:hAnsi="Times New Roman" w:cs="宋体"/>
          <w:color w:val="auto"/>
          <w:kern w:val="0"/>
        </w:rPr>
      </w:pPr>
      <w:r>
        <w:rPr>
          <w:rFonts w:hint="eastAsia" w:ascii="宋体" w:hAnsi="Times New Roman" w:cs="宋体"/>
          <w:color w:val="auto"/>
          <w:kern w:val="0"/>
        </w:rPr>
        <w:t>可能导致人员伤亡、影响人的健康甚至导致疾病、财产损失、环境破坏的因素。</w:t>
      </w:r>
    </w:p>
    <w:p w14:paraId="0F9E2425">
      <w:pPr>
        <w:autoSpaceDE w:val="0"/>
        <w:autoSpaceDN w:val="0"/>
        <w:spacing w:line="240" w:lineRule="auto"/>
        <w:ind w:firstLine="400" w:firstLineChars="200"/>
        <w:jc w:val="left"/>
        <w:rPr>
          <w:rFonts w:ascii="宋体" w:hAnsi="Times New Roman" w:cs="宋体"/>
          <w:color w:val="auto"/>
          <w:kern w:val="0"/>
          <w:sz w:val="20"/>
          <w:szCs w:val="20"/>
        </w:rPr>
      </w:pPr>
      <w:r>
        <w:rPr>
          <w:rFonts w:hint="eastAsia" w:ascii="宋体" w:hAnsi="Times New Roman" w:cs="宋体"/>
          <w:color w:val="auto"/>
          <w:kern w:val="0"/>
          <w:sz w:val="20"/>
          <w:szCs w:val="20"/>
        </w:rPr>
        <w:t>[来源：GB/T 13861-2022，3.2，有修改]</w:t>
      </w:r>
    </w:p>
    <w:p w14:paraId="2B5545D7">
      <w:pPr>
        <w:pStyle w:val="227"/>
        <w:ind w:left="420" w:hanging="420" w:hangingChars="200"/>
        <w:rPr>
          <w:rFonts w:ascii="黑体" w:hAnsi="黑体" w:eastAsia="黑体"/>
          <w:color w:val="auto"/>
          <w:szCs w:val="21"/>
        </w:rPr>
      </w:pPr>
    </w:p>
    <w:p w14:paraId="3436C42A">
      <w:pPr>
        <w:pStyle w:val="227"/>
        <w:numPr>
          <w:ilvl w:val="0"/>
          <w:numId w:val="0"/>
        </w:numPr>
        <w:ind w:left="-420" w:leftChars="-200" w:firstLine="840" w:firstLineChars="400"/>
        <w:rPr>
          <w:rFonts w:ascii="黑体" w:hAnsi="黑体" w:eastAsia="黑体"/>
          <w:color w:val="auto"/>
          <w:szCs w:val="21"/>
        </w:rPr>
      </w:pPr>
      <w:r>
        <w:rPr>
          <w:rFonts w:hint="default" w:ascii="黑体" w:hAnsi="黑体" w:eastAsia="黑体" w:cs="黑体"/>
          <w:color w:val="auto"/>
          <w:szCs w:val="21"/>
        </w:rPr>
        <w:t>外部</w:t>
      </w:r>
      <w:r>
        <w:rPr>
          <w:rFonts w:hint="eastAsia" w:ascii="黑体" w:hAnsi="黑体" w:eastAsia="黑体" w:cs="黑体"/>
          <w:color w:val="auto"/>
          <w:szCs w:val="21"/>
        </w:rPr>
        <w:t>安全防护距离</w:t>
      </w:r>
      <w:r>
        <w:rPr>
          <w:rFonts w:ascii="黑体" w:hAnsi="黑体" w:eastAsia="黑体" w:cs="黑体"/>
          <w:color w:val="auto"/>
          <w:szCs w:val="21"/>
        </w:rPr>
        <w:t xml:space="preserve"> </w:t>
      </w:r>
      <w:r>
        <w:rPr>
          <w:rFonts w:hint="eastAsia" w:ascii="黑体" w:hAnsi="黑体" w:eastAsia="黑体" w:cs="黑体"/>
          <w:color w:val="auto"/>
          <w:szCs w:val="21"/>
        </w:rPr>
        <w:t>external safety distance</w:t>
      </w:r>
      <w:r>
        <w:rPr>
          <w:rFonts w:ascii="黑体" w:hAnsi="黑体" w:eastAsia="黑体"/>
          <w:color w:val="auto"/>
          <w:szCs w:val="21"/>
        </w:rPr>
        <w:t xml:space="preserve"> </w:t>
      </w:r>
    </w:p>
    <w:p w14:paraId="61376AB6">
      <w:pPr>
        <w:autoSpaceDE w:val="0"/>
        <w:autoSpaceDN w:val="0"/>
        <w:spacing w:line="240" w:lineRule="auto"/>
        <w:ind w:firstLine="420" w:firstLineChars="200"/>
        <w:jc w:val="left"/>
        <w:rPr>
          <w:rFonts w:hint="eastAsia"/>
          <w:color w:val="auto"/>
          <w:lang w:val="en-US" w:eastAsia="zh-CN"/>
        </w:rPr>
      </w:pPr>
      <w:r>
        <w:rPr>
          <w:rFonts w:hint="eastAsia" w:eastAsia="宋体" w:cs="Times New Roman"/>
          <w:color w:val="auto"/>
        </w:rPr>
        <w:t>为预防和减缓危险化学品生产装置和储存设施潜在事</w:t>
      </w:r>
      <w:r>
        <w:rPr>
          <w:rFonts w:hint="eastAsia" w:ascii="仿宋_GB2312" w:hAnsi="仿宋_GB2312" w:eastAsia="仿宋_GB2312" w:cs="仿宋_GB2312"/>
          <w:color w:val="auto"/>
        </w:rPr>
        <w:t>故(火灾、爆炸和中毒等)对</w:t>
      </w:r>
      <w:r>
        <w:rPr>
          <w:rFonts w:hint="eastAsia" w:eastAsia="宋体" w:cs="Times New Roman"/>
          <w:color w:val="auto"/>
        </w:rPr>
        <w:t>厂外防护目标的影响</w:t>
      </w:r>
      <w:r>
        <w:rPr>
          <w:rFonts w:hint="eastAsia" w:ascii="仿宋_GB2312" w:hAnsi="仿宋_GB2312" w:eastAsia="仿宋_GB2312" w:cs="仿宋_GB2312"/>
          <w:color w:val="auto"/>
          <w:lang w:val="en-US"/>
        </w:rPr>
        <w:t>,</w:t>
      </w:r>
      <w:r>
        <w:rPr>
          <w:rFonts w:hint="eastAsia" w:eastAsia="宋体" w:cs="Times New Roman"/>
          <w:color w:val="auto"/>
        </w:rPr>
        <w:t>在装置和设施与防护目标之间设置的距离或</w:t>
      </w:r>
      <w:r>
        <w:rPr>
          <w:rFonts w:hint="eastAsia" w:cs="Times New Roman"/>
          <w:color w:val="auto"/>
          <w:lang w:eastAsia="zh-CN"/>
        </w:rPr>
        <w:t>安全风险</w:t>
      </w:r>
      <w:r>
        <w:rPr>
          <w:rFonts w:hint="eastAsia" w:eastAsia="宋体" w:cs="Times New Roman"/>
          <w:color w:val="auto"/>
        </w:rPr>
        <w:t>控制线。</w:t>
      </w:r>
    </w:p>
    <w:p w14:paraId="1C6F5624">
      <w:pPr>
        <w:autoSpaceDE w:val="0"/>
        <w:autoSpaceDN w:val="0"/>
        <w:spacing w:line="240" w:lineRule="auto"/>
        <w:ind w:firstLine="400" w:firstLineChars="200"/>
        <w:jc w:val="left"/>
        <w:rPr>
          <w:rFonts w:ascii="宋体" w:hAnsi="Times New Roman" w:cs="宋体"/>
          <w:color w:val="auto"/>
          <w:kern w:val="0"/>
          <w:sz w:val="20"/>
          <w:szCs w:val="20"/>
        </w:rPr>
      </w:pPr>
      <w:r>
        <w:rPr>
          <w:rFonts w:hint="eastAsia" w:ascii="宋体" w:hAnsi="Times New Roman" w:cs="宋体"/>
          <w:color w:val="auto"/>
          <w:kern w:val="0"/>
          <w:sz w:val="20"/>
          <w:szCs w:val="20"/>
        </w:rPr>
        <w:t xml:space="preserve">[来源：GB/T </w:t>
      </w:r>
      <w:r>
        <w:rPr>
          <w:rFonts w:hint="default" w:ascii="宋体" w:hAnsi="Times New Roman" w:cs="宋体"/>
          <w:color w:val="auto"/>
          <w:kern w:val="0"/>
          <w:sz w:val="20"/>
          <w:szCs w:val="20"/>
        </w:rPr>
        <w:t>37243</w:t>
      </w:r>
      <w:r>
        <w:rPr>
          <w:rFonts w:hint="eastAsia" w:ascii="宋体" w:hAnsi="Times New Roman" w:cs="宋体"/>
          <w:color w:val="auto"/>
          <w:kern w:val="0"/>
          <w:sz w:val="20"/>
          <w:szCs w:val="20"/>
        </w:rPr>
        <w:t>-20</w:t>
      </w:r>
      <w:r>
        <w:rPr>
          <w:rFonts w:hint="default" w:ascii="宋体" w:hAnsi="Times New Roman" w:cs="宋体"/>
          <w:color w:val="auto"/>
          <w:kern w:val="0"/>
          <w:sz w:val="20"/>
          <w:szCs w:val="20"/>
        </w:rPr>
        <w:t>19</w:t>
      </w:r>
      <w:r>
        <w:rPr>
          <w:rFonts w:hint="eastAsia" w:ascii="宋体" w:hAnsi="Times New Roman" w:cs="宋体"/>
          <w:color w:val="auto"/>
          <w:kern w:val="0"/>
          <w:sz w:val="20"/>
          <w:szCs w:val="20"/>
        </w:rPr>
        <w:t>，3.</w:t>
      </w:r>
      <w:r>
        <w:rPr>
          <w:rFonts w:hint="default" w:ascii="宋体" w:hAnsi="Times New Roman" w:cs="宋体"/>
          <w:color w:val="auto"/>
          <w:kern w:val="0"/>
          <w:sz w:val="20"/>
          <w:szCs w:val="20"/>
        </w:rPr>
        <w:t>4</w:t>
      </w:r>
      <w:r>
        <w:rPr>
          <w:rFonts w:hint="eastAsia" w:ascii="宋体" w:hAnsi="Times New Roman" w:cs="宋体"/>
          <w:color w:val="auto"/>
          <w:kern w:val="0"/>
          <w:sz w:val="20"/>
          <w:szCs w:val="20"/>
        </w:rPr>
        <w:t>]‌</w:t>
      </w:r>
      <w:r>
        <w:rPr>
          <w:rFonts w:ascii="宋体" w:hAnsi="Times New Roman" w:cs="宋体"/>
          <w:color w:val="auto"/>
          <w:kern w:val="0"/>
          <w:sz w:val="20"/>
          <w:szCs w:val="20"/>
        </w:rPr>
        <w:t xml:space="preserve"> </w:t>
      </w:r>
    </w:p>
    <w:p w14:paraId="5C8ABBBD">
      <w:pPr>
        <w:pStyle w:val="227"/>
        <w:ind w:left="420" w:hanging="420" w:hangingChars="200"/>
        <w:rPr>
          <w:rFonts w:ascii="黑体" w:hAnsi="黑体" w:eastAsia="黑体"/>
          <w:color w:val="auto"/>
          <w:szCs w:val="21"/>
        </w:rPr>
      </w:pPr>
      <w:r>
        <w:rPr>
          <w:rFonts w:ascii="黑体" w:hAnsi="黑体" w:eastAsia="黑体"/>
          <w:color w:val="auto"/>
          <w:szCs w:val="21"/>
        </w:rPr>
        <w:t xml:space="preserve"> </w:t>
      </w:r>
    </w:p>
    <w:p w14:paraId="350E69EC">
      <w:pPr>
        <w:pStyle w:val="227"/>
        <w:numPr>
          <w:ilvl w:val="0"/>
          <w:numId w:val="0"/>
        </w:numPr>
        <w:ind w:left="-420" w:leftChars="-200" w:firstLine="840" w:firstLineChars="400"/>
        <w:rPr>
          <w:rFonts w:ascii="黑体" w:hAnsi="黑体" w:eastAsia="黑体" w:cs="黑体"/>
          <w:color w:val="auto"/>
          <w:szCs w:val="21"/>
        </w:rPr>
      </w:pPr>
      <w:r>
        <w:rPr>
          <w:rFonts w:hint="eastAsia" w:ascii="黑体" w:hAnsi="黑体" w:eastAsia="黑体" w:cs="黑体"/>
          <w:color w:val="auto"/>
          <w:szCs w:val="21"/>
        </w:rPr>
        <w:t>事件 incident</w:t>
      </w:r>
    </w:p>
    <w:p w14:paraId="62F3753F">
      <w:pPr>
        <w:autoSpaceDE w:val="0"/>
        <w:autoSpaceDN w:val="0"/>
        <w:spacing w:line="240" w:lineRule="auto"/>
        <w:ind w:firstLine="420" w:firstLineChars="200"/>
        <w:jc w:val="left"/>
        <w:rPr>
          <w:rFonts w:hint="eastAsia" w:ascii="宋体" w:hAnsi="Times New Roman" w:cs="宋体"/>
          <w:color w:val="auto"/>
          <w:kern w:val="0"/>
        </w:rPr>
      </w:pPr>
      <w:r>
        <w:rPr>
          <w:rFonts w:hint="eastAsia" w:ascii="宋体" w:hAnsi="Times New Roman" w:cs="宋体"/>
          <w:color w:val="auto"/>
          <w:kern w:val="0"/>
        </w:rPr>
        <w:t>由工作引起的或在工作过程中发生的可能或已经导致人身伤害、环境破坏或财产损失等不良后果的情况。</w:t>
      </w:r>
    </w:p>
    <w:p w14:paraId="20C6FCB8">
      <w:pPr>
        <w:autoSpaceDE w:val="0"/>
        <w:autoSpaceDN w:val="0"/>
        <w:spacing w:line="240" w:lineRule="auto"/>
        <w:ind w:firstLine="400" w:firstLineChars="200"/>
        <w:jc w:val="left"/>
        <w:rPr>
          <w:rFonts w:hint="eastAsia" w:ascii="宋体" w:hAnsi="宋体" w:cs="宋体"/>
          <w:color w:val="auto"/>
          <w:sz w:val="21"/>
          <w:szCs w:val="21"/>
        </w:rPr>
      </w:pPr>
      <w:r>
        <w:rPr>
          <w:rFonts w:hint="eastAsia" w:ascii="宋体" w:hAnsi="Times New Roman" w:cs="宋体"/>
          <w:color w:val="auto"/>
          <w:kern w:val="0"/>
          <w:sz w:val="20"/>
          <w:szCs w:val="20"/>
        </w:rPr>
        <w:t>[来源：GB/T 45001-2020，3.35]</w:t>
      </w:r>
    </w:p>
    <w:p w14:paraId="5B76F277">
      <w:pPr>
        <w:pStyle w:val="227"/>
        <w:ind w:left="420" w:hanging="420" w:hangingChars="200"/>
        <w:rPr>
          <w:rFonts w:ascii="黑体" w:hAnsi="黑体" w:eastAsia="黑体"/>
          <w:color w:val="auto"/>
          <w:szCs w:val="21"/>
        </w:rPr>
      </w:pPr>
    </w:p>
    <w:p w14:paraId="1A9F3B9C">
      <w:pPr>
        <w:pStyle w:val="227"/>
        <w:numPr>
          <w:ilvl w:val="0"/>
          <w:numId w:val="0"/>
        </w:numPr>
        <w:ind w:left="-420" w:leftChars="-200" w:firstLine="840" w:firstLineChars="400"/>
        <w:rPr>
          <w:rFonts w:hint="eastAsia" w:ascii="黑体" w:hAnsi="黑体" w:eastAsia="黑体" w:cs="黑体"/>
          <w:color w:val="auto"/>
          <w:szCs w:val="21"/>
        </w:rPr>
      </w:pPr>
      <w:r>
        <w:rPr>
          <w:rFonts w:hint="eastAsia" w:ascii="黑体" w:hAnsi="黑体" w:eastAsia="黑体" w:cs="黑体"/>
          <w:color w:val="auto"/>
          <w:szCs w:val="21"/>
        </w:rPr>
        <w:t>承包商</w:t>
      </w:r>
      <w:r>
        <w:rPr>
          <w:rFonts w:ascii="黑体" w:hAnsi="黑体" w:eastAsia="黑体" w:cs="黑体"/>
          <w:color w:val="auto"/>
          <w:szCs w:val="21"/>
        </w:rPr>
        <w:t xml:space="preserve"> </w:t>
      </w:r>
      <w:r>
        <w:rPr>
          <w:rFonts w:hint="eastAsia" w:ascii="黑体" w:hAnsi="黑体" w:eastAsia="黑体" w:cs="黑体"/>
          <w:color w:val="auto"/>
          <w:szCs w:val="21"/>
        </w:rPr>
        <w:t xml:space="preserve">contractor </w:t>
      </w:r>
    </w:p>
    <w:p w14:paraId="78FD5C49">
      <w:pPr>
        <w:autoSpaceDE w:val="0"/>
        <w:autoSpaceDN w:val="0"/>
        <w:ind w:firstLine="420" w:firstLineChars="200"/>
        <w:jc w:val="left"/>
        <w:rPr>
          <w:rFonts w:hint="eastAsia" w:ascii="宋体" w:hAnsi="Times New Roman" w:cs="宋体"/>
          <w:color w:val="auto"/>
          <w:kern w:val="0"/>
        </w:rPr>
      </w:pPr>
      <w:r>
        <w:rPr>
          <w:rFonts w:hint="eastAsia" w:ascii="宋体" w:hAnsi="Times New Roman" w:cs="宋体"/>
          <w:color w:val="auto"/>
          <w:kern w:val="0"/>
        </w:rPr>
        <w:t>在企业的作业现场，按照双方协定的要求、期限及条件向企业提供服务的外部组织。</w:t>
      </w:r>
    </w:p>
    <w:p w14:paraId="712604D3">
      <w:pPr>
        <w:pStyle w:val="227"/>
        <w:ind w:left="420" w:hanging="420" w:hangingChars="200"/>
        <w:rPr>
          <w:rFonts w:ascii="黑体" w:hAnsi="黑体" w:eastAsia="黑体"/>
          <w:color w:val="auto"/>
          <w:szCs w:val="21"/>
        </w:rPr>
      </w:pPr>
    </w:p>
    <w:p w14:paraId="6FBA933C">
      <w:pPr>
        <w:pStyle w:val="227"/>
        <w:numPr>
          <w:ilvl w:val="0"/>
          <w:numId w:val="0"/>
        </w:numPr>
        <w:ind w:left="-420" w:leftChars="-200" w:firstLine="840" w:firstLineChars="400"/>
        <w:rPr>
          <w:rFonts w:hint="eastAsia" w:ascii="黑体" w:hAnsi="黑体" w:eastAsia="黑体" w:cs="黑体"/>
          <w:color w:val="auto"/>
          <w:szCs w:val="21"/>
        </w:rPr>
      </w:pPr>
      <w:r>
        <w:rPr>
          <w:rFonts w:hint="eastAsia" w:ascii="黑体" w:hAnsi="黑体" w:eastAsia="黑体" w:cs="黑体"/>
          <w:color w:val="auto"/>
          <w:szCs w:val="21"/>
        </w:rPr>
        <w:t xml:space="preserve">合于使用性评价 </w:t>
      </w:r>
      <w:r>
        <w:rPr>
          <w:rFonts w:hint="eastAsia" w:ascii="黑体" w:hAnsi="黑体" w:eastAsia="黑体" w:cs="黑体"/>
          <w:color w:val="auto"/>
          <w:kern w:val="0"/>
          <w:szCs w:val="21"/>
          <w:lang w:val="en-US" w:eastAsia="zh-CN"/>
        </w:rPr>
        <w:t>fitness for service</w:t>
      </w:r>
    </w:p>
    <w:p w14:paraId="756E97EE">
      <w:pPr>
        <w:autoSpaceDE w:val="0"/>
        <w:autoSpaceDN w:val="0"/>
        <w:ind w:firstLine="420" w:firstLineChars="200"/>
        <w:jc w:val="left"/>
        <w:rPr>
          <w:rFonts w:hint="eastAsia" w:ascii="宋体" w:hAnsi="Times New Roman" w:cs="宋体"/>
          <w:color w:val="auto"/>
          <w:kern w:val="0"/>
          <w:lang w:val="en-US" w:eastAsia="zh-CN"/>
        </w:rPr>
      </w:pPr>
      <w:r>
        <w:rPr>
          <w:rFonts w:hint="eastAsia" w:ascii="宋体" w:hAnsi="Times New Roman" w:cs="宋体"/>
          <w:color w:val="auto"/>
          <w:kern w:val="0"/>
          <w:lang w:val="en-US" w:eastAsia="zh-CN"/>
        </w:rPr>
        <w:t>针对设备在发现缺陷后的评估方法，用以判断其是否能够继续安全运行至下次预定的停机检修或直至其预期的剩余寿命结束。</w:t>
      </w:r>
    </w:p>
    <w:p w14:paraId="3E767A31">
      <w:pPr>
        <w:pStyle w:val="113"/>
        <w:spacing w:before="321" w:after="321"/>
        <w:rPr>
          <w:color w:val="auto"/>
          <w:szCs w:val="21"/>
        </w:rPr>
      </w:pPr>
      <w:bookmarkStart w:id="123" w:name="_Toc13256"/>
      <w:bookmarkStart w:id="124" w:name="_Toc31936"/>
      <w:bookmarkStart w:id="125" w:name="_Toc12567"/>
      <w:bookmarkStart w:id="126" w:name="_Toc16133"/>
      <w:bookmarkStart w:id="127" w:name="_Toc25513"/>
      <w:bookmarkStart w:id="128" w:name="_Toc3595"/>
      <w:bookmarkStart w:id="129" w:name="_Toc15188"/>
      <w:bookmarkStart w:id="130" w:name="_Toc24228"/>
      <w:bookmarkStart w:id="131" w:name="_Toc13371"/>
      <w:bookmarkStart w:id="132" w:name="_Toc9424"/>
      <w:bookmarkStart w:id="133" w:name="_Toc29843"/>
      <w:bookmarkStart w:id="134" w:name="_Toc23673"/>
      <w:bookmarkStart w:id="135" w:name="_Toc25034"/>
      <w:bookmarkStart w:id="136" w:name="_Toc29870"/>
      <w:bookmarkStart w:id="137" w:name="_Toc4061"/>
      <w:bookmarkStart w:id="138" w:name="_Toc19385"/>
      <w:bookmarkStart w:id="139" w:name="_Toc28095"/>
      <w:bookmarkStart w:id="140" w:name="_Toc5696"/>
      <w:bookmarkStart w:id="141" w:name="_Toc28713"/>
      <w:bookmarkStart w:id="142" w:name="_Toc31023"/>
      <w:bookmarkStart w:id="143" w:name="_Toc21066"/>
      <w:bookmarkStart w:id="144" w:name="_Toc26714"/>
      <w:bookmarkStart w:id="145" w:name="_Toc28964"/>
      <w:r>
        <w:rPr>
          <w:rFonts w:hint="eastAsia"/>
          <w:color w:val="auto"/>
          <w:szCs w:val="21"/>
        </w:rPr>
        <w:t>一般要求</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4FDF9C46">
      <w:pPr>
        <w:pStyle w:val="114"/>
        <w:rPr>
          <w:rFonts w:hint="eastAsia" w:ascii="宋体" w:hAnsi="宋体" w:eastAsia="宋体" w:cs="宋体"/>
          <w:b w:val="0"/>
          <w:bCs w:val="0"/>
          <w:color w:val="auto"/>
          <w:szCs w:val="21"/>
        </w:rPr>
      </w:pPr>
      <w:bookmarkStart w:id="146" w:name="_Toc12075"/>
      <w:bookmarkStart w:id="147" w:name="_Toc874"/>
      <w:bookmarkStart w:id="148" w:name="_Toc1313"/>
      <w:r>
        <w:rPr>
          <w:rFonts w:hint="eastAsia" w:ascii="宋体" w:hAnsi="宋体" w:eastAsia="宋体" w:cs="宋体"/>
          <w:b w:val="0"/>
          <w:bCs w:val="0"/>
          <w:color w:val="auto"/>
          <w:szCs w:val="21"/>
        </w:rPr>
        <w:t>企业应采用“计划（Plan）—实施（Do）—检查（Check）—改进（Act）”动态循环和持续改进的管理模式，</w:t>
      </w:r>
      <w:r>
        <w:rPr>
          <w:rFonts w:hint="eastAsia" w:ascii="宋体" w:hAnsi="宋体" w:eastAsia="宋体" w:cs="宋体"/>
          <w:color w:val="auto"/>
          <w:szCs w:val="21"/>
        </w:rPr>
        <w:t>融合化工过程安全管理</w:t>
      </w:r>
      <w:r>
        <w:rPr>
          <w:rFonts w:hint="eastAsia" w:ascii="宋体" w:hAnsi="宋体" w:eastAsia="宋体" w:cs="宋体"/>
          <w:color w:val="auto"/>
          <w:szCs w:val="21"/>
          <w:highlight w:val="none"/>
        </w:rPr>
        <w:t>理念</w:t>
      </w:r>
      <w:r>
        <w:rPr>
          <w:rFonts w:hint="eastAsia" w:ascii="宋体" w:hAnsi="宋体" w:eastAsia="宋体" w:cs="宋体"/>
          <w:color w:val="auto"/>
          <w:szCs w:val="21"/>
          <w:highlight w:val="none"/>
          <w:lang w:val="en-US" w:eastAsia="zh-CN"/>
        </w:rPr>
        <w:t>和方法</w:t>
      </w:r>
      <w:r>
        <w:rPr>
          <w:rFonts w:hint="eastAsia" w:ascii="宋体" w:hAnsi="宋体" w:eastAsia="宋体" w:cs="宋体"/>
          <w:color w:val="auto"/>
          <w:szCs w:val="21"/>
        </w:rPr>
        <w:t>，</w:t>
      </w:r>
      <w:r>
        <w:rPr>
          <w:rFonts w:hint="eastAsia" w:ascii="宋体" w:hAnsi="宋体" w:eastAsia="宋体" w:cs="宋体"/>
          <w:b w:val="0"/>
          <w:bCs w:val="0"/>
          <w:color w:val="auto"/>
          <w:szCs w:val="21"/>
        </w:rPr>
        <w:t>结合企业自身特点，</w:t>
      </w:r>
      <w:r>
        <w:rPr>
          <w:rFonts w:hint="eastAsia" w:ascii="宋体" w:hAnsi="宋体" w:eastAsia="宋体" w:cs="宋体"/>
          <w:color w:val="auto"/>
          <w:szCs w:val="21"/>
        </w:rPr>
        <w:t>自主开展安全生产标准化建设</w:t>
      </w:r>
      <w:r>
        <w:rPr>
          <w:rFonts w:hint="eastAsia" w:ascii="宋体" w:hAnsi="宋体" w:eastAsia="宋体" w:cs="宋体"/>
          <w:b w:val="0"/>
          <w:bCs w:val="0"/>
          <w:color w:val="auto"/>
          <w:szCs w:val="21"/>
        </w:rPr>
        <w:t>，</w:t>
      </w:r>
      <w:r>
        <w:rPr>
          <w:rFonts w:hint="eastAsia" w:ascii="宋体" w:hAnsi="宋体" w:eastAsia="宋体" w:cs="宋体"/>
          <w:color w:val="auto"/>
          <w:szCs w:val="21"/>
          <w:highlight w:val="none"/>
        </w:rPr>
        <w:t>其他安全管理体系</w:t>
      </w:r>
      <w:r>
        <w:rPr>
          <w:rFonts w:hint="default" w:ascii="宋体" w:hAnsi="宋体" w:eastAsia="宋体" w:cs="宋体"/>
          <w:color w:val="auto"/>
          <w:szCs w:val="21"/>
          <w:highlight w:val="none"/>
        </w:rPr>
        <w:t>应</w:t>
      </w:r>
      <w:r>
        <w:rPr>
          <w:rFonts w:hint="eastAsia" w:ascii="宋体" w:hAnsi="宋体" w:eastAsia="宋体" w:cs="宋体"/>
          <w:color w:val="auto"/>
          <w:szCs w:val="21"/>
          <w:highlight w:val="none"/>
          <w:lang w:val="en-US" w:eastAsia="zh-CN"/>
        </w:rPr>
        <w:t>与</w:t>
      </w:r>
      <w:r>
        <w:rPr>
          <w:rFonts w:hint="default" w:ascii="宋体" w:hAnsi="宋体" w:eastAsia="宋体" w:cs="宋体"/>
          <w:color w:val="auto"/>
          <w:szCs w:val="21"/>
          <w:highlight w:val="none"/>
          <w:lang w:eastAsia="zh-CN"/>
        </w:rPr>
        <w:t>安全生产标准化实施</w:t>
      </w:r>
      <w:r>
        <w:rPr>
          <w:rFonts w:hint="eastAsia" w:ascii="宋体" w:hAnsi="宋体" w:eastAsia="宋体" w:cs="宋体"/>
          <w:color w:val="auto"/>
          <w:szCs w:val="21"/>
          <w:highlight w:val="none"/>
        </w:rPr>
        <w:t>一体化运行</w:t>
      </w:r>
      <w:r>
        <w:rPr>
          <w:rFonts w:hint="default" w:ascii="宋体" w:hAnsi="宋体" w:eastAsia="宋体" w:cs="宋体"/>
          <w:color w:val="auto"/>
          <w:szCs w:val="21"/>
          <w:highlight w:val="none"/>
        </w:rPr>
        <w:t>，</w:t>
      </w:r>
      <w:r>
        <w:rPr>
          <w:rFonts w:hint="eastAsia" w:ascii="宋体" w:hAnsi="宋体" w:eastAsia="宋体" w:cs="宋体"/>
          <w:b w:val="0"/>
          <w:bCs w:val="0"/>
          <w:color w:val="auto"/>
          <w:szCs w:val="21"/>
        </w:rPr>
        <w:t>注重科学性、规范性和系统性。</w:t>
      </w:r>
      <w:bookmarkEnd w:id="146"/>
    </w:p>
    <w:bookmarkEnd w:id="147"/>
    <w:bookmarkEnd w:id="148"/>
    <w:p w14:paraId="528835B9">
      <w:pPr>
        <w:pStyle w:val="114"/>
        <w:spacing w:before="0" w:beforeLines="0" w:after="0" w:afterLines="0"/>
        <w:rPr>
          <w:rFonts w:hint="eastAsia" w:ascii="宋体" w:hAnsi="宋体" w:eastAsia="宋体" w:cs="宋体"/>
          <w:b w:val="0"/>
          <w:bCs w:val="0"/>
          <w:color w:val="auto"/>
          <w:szCs w:val="21"/>
        </w:rPr>
      </w:pPr>
      <w:bookmarkStart w:id="149" w:name="_Toc6020"/>
      <w:bookmarkStart w:id="150" w:name="_Toc5142"/>
      <w:bookmarkStart w:id="151" w:name="_Toc27808"/>
      <w:r>
        <w:rPr>
          <w:rFonts w:hint="eastAsia" w:ascii="宋体" w:hAnsi="宋体" w:eastAsia="宋体" w:cs="宋体"/>
          <w:color w:val="auto"/>
          <w:szCs w:val="21"/>
        </w:rPr>
        <w:t>企业安全生产标准化建设</w:t>
      </w:r>
      <w:r>
        <w:rPr>
          <w:rFonts w:hint="eastAsia" w:ascii="宋体" w:hAnsi="宋体" w:eastAsia="宋体" w:cs="宋体"/>
          <w:color w:val="auto"/>
          <w:szCs w:val="21"/>
          <w:lang w:val="en-US" w:eastAsia="zh-CN"/>
        </w:rPr>
        <w:t>运行</w:t>
      </w:r>
      <w:r>
        <w:rPr>
          <w:rFonts w:hint="eastAsia" w:ascii="宋体" w:hAnsi="宋体" w:eastAsia="宋体" w:cs="宋体"/>
          <w:color w:val="auto"/>
          <w:szCs w:val="21"/>
        </w:rPr>
        <w:t>过程包括诊断、</w:t>
      </w:r>
      <w:r>
        <w:rPr>
          <w:rFonts w:hint="eastAsia" w:ascii="宋体" w:hAnsi="宋体" w:eastAsia="宋体" w:cs="宋体"/>
          <w:color w:val="auto"/>
          <w:szCs w:val="21"/>
          <w:highlight w:val="none"/>
        </w:rPr>
        <w:t>策划、培训、实施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自评、改进提升</w:t>
      </w:r>
      <w:r>
        <w:rPr>
          <w:rFonts w:hint="eastAsia" w:ascii="宋体" w:hAnsi="宋体" w:eastAsia="宋体" w:cs="宋体"/>
          <w:color w:val="auto"/>
          <w:szCs w:val="21"/>
          <w:highlight w:val="none"/>
        </w:rPr>
        <w:t>等阶段。</w:t>
      </w:r>
      <w:bookmarkEnd w:id="149"/>
      <w:bookmarkEnd w:id="150"/>
      <w:bookmarkEnd w:id="151"/>
    </w:p>
    <w:p w14:paraId="6D408582">
      <w:pPr>
        <w:pStyle w:val="181"/>
        <w:numPr>
          <w:ilvl w:val="0"/>
          <w:numId w:val="0"/>
        </w:numPr>
        <w:tabs>
          <w:tab w:val="left" w:pos="840"/>
        </w:tabs>
        <w:ind w:left="0" w:firstLine="420" w:firstLineChars="200"/>
        <w:rPr>
          <w:rFonts w:hint="eastAsia"/>
          <w:color w:val="auto"/>
          <w:szCs w:val="21"/>
        </w:rPr>
      </w:pPr>
      <w:r>
        <w:rPr>
          <w:rFonts w:hint="eastAsia"/>
          <w:color w:val="auto"/>
          <w:szCs w:val="21"/>
          <w:lang w:val="en-US" w:eastAsia="zh-CN"/>
        </w:rPr>
        <w:t>1）</w:t>
      </w:r>
      <w:r>
        <w:rPr>
          <w:rFonts w:hint="eastAsia"/>
          <w:color w:val="auto"/>
          <w:szCs w:val="21"/>
        </w:rPr>
        <w:t>诊断阶段：依据法律法规及本文件要求，对企业进行初始评估，确定适用的要素内容，找出存在的差距。</w:t>
      </w:r>
    </w:p>
    <w:p w14:paraId="6A2AED1E">
      <w:pPr>
        <w:pStyle w:val="181"/>
        <w:numPr>
          <w:ilvl w:val="0"/>
          <w:numId w:val="0"/>
        </w:numPr>
        <w:tabs>
          <w:tab w:val="left" w:pos="840"/>
        </w:tabs>
        <w:ind w:left="0" w:firstLine="420" w:firstLineChars="200"/>
        <w:rPr>
          <w:rFonts w:hint="eastAsia"/>
          <w:color w:val="auto"/>
          <w:szCs w:val="21"/>
        </w:rPr>
      </w:pPr>
      <w:r>
        <w:rPr>
          <w:rFonts w:hint="eastAsia"/>
          <w:color w:val="auto"/>
          <w:szCs w:val="21"/>
          <w:lang w:val="en-US" w:eastAsia="zh-CN"/>
        </w:rPr>
        <w:t>2）</w:t>
      </w:r>
      <w:r>
        <w:rPr>
          <w:rFonts w:hint="eastAsia"/>
          <w:color w:val="auto"/>
          <w:szCs w:val="21"/>
        </w:rPr>
        <w:t>策划阶段：根据诊断结果，制定安全生产标准化实施方案。</w:t>
      </w:r>
    </w:p>
    <w:p w14:paraId="701FDB55">
      <w:pPr>
        <w:pStyle w:val="181"/>
        <w:numPr>
          <w:ilvl w:val="0"/>
          <w:numId w:val="0"/>
        </w:numPr>
        <w:tabs>
          <w:tab w:val="left" w:pos="840"/>
        </w:tabs>
        <w:ind w:left="0" w:firstLine="420" w:firstLineChars="200"/>
        <w:rPr>
          <w:rFonts w:hint="eastAsia"/>
          <w:color w:val="auto"/>
          <w:szCs w:val="21"/>
        </w:rPr>
      </w:pPr>
      <w:r>
        <w:rPr>
          <w:rFonts w:hint="eastAsia"/>
          <w:color w:val="auto"/>
          <w:szCs w:val="21"/>
          <w:lang w:val="en-US" w:eastAsia="zh-CN"/>
        </w:rPr>
        <w:t>3）</w:t>
      </w:r>
      <w:r>
        <w:rPr>
          <w:rFonts w:hint="eastAsia"/>
          <w:color w:val="auto"/>
          <w:szCs w:val="21"/>
        </w:rPr>
        <w:t>培训阶段：对全体员工进行安全生产标准化相关内容培训。</w:t>
      </w:r>
    </w:p>
    <w:p w14:paraId="56ADF8B3">
      <w:pPr>
        <w:pStyle w:val="181"/>
        <w:numPr>
          <w:ilvl w:val="0"/>
          <w:numId w:val="0"/>
        </w:numPr>
        <w:tabs>
          <w:tab w:val="left" w:pos="840"/>
        </w:tabs>
        <w:ind w:left="0" w:firstLine="420" w:firstLineChars="200"/>
        <w:rPr>
          <w:rFonts w:hint="eastAsia" w:ascii="宋体" w:hAnsi="宋体" w:eastAsia="宋体" w:cs="宋体"/>
          <w:color w:val="auto"/>
          <w:szCs w:val="21"/>
        </w:rPr>
      </w:pPr>
      <w:r>
        <w:rPr>
          <w:rFonts w:hint="eastAsia"/>
          <w:color w:val="auto"/>
          <w:szCs w:val="21"/>
          <w:lang w:val="en-US" w:eastAsia="zh-CN"/>
        </w:rPr>
        <w:t>4）</w:t>
      </w:r>
      <w:r>
        <w:rPr>
          <w:rFonts w:hint="eastAsia"/>
          <w:color w:val="auto"/>
          <w:szCs w:val="21"/>
        </w:rPr>
        <w:t>实施阶段：根据策划结果，落实安全生产标准化各项要求。</w:t>
      </w:r>
      <w:bookmarkStart w:id="152" w:name="_Toc6856"/>
      <w:bookmarkStart w:id="153" w:name="_Toc25665"/>
    </w:p>
    <w:p w14:paraId="241EF3AB">
      <w:pPr>
        <w:pStyle w:val="181"/>
        <w:numPr>
          <w:ilvl w:val="0"/>
          <w:numId w:val="0"/>
        </w:numPr>
        <w:tabs>
          <w:tab w:val="left" w:pos="840"/>
        </w:tabs>
        <w:ind w:left="0" w:firstLine="420" w:firstLineChars="200"/>
        <w:rPr>
          <w:rFonts w:hint="eastAsia" w:ascii="宋体" w:hAnsi="宋体" w:eastAsia="宋体" w:cs="宋体"/>
          <w:color w:val="auto"/>
          <w:szCs w:val="21"/>
        </w:rPr>
      </w:pPr>
      <w:r>
        <w:rPr>
          <w:rFonts w:hint="eastAsia" w:hAnsi="宋体" w:cs="宋体"/>
          <w:color w:val="auto"/>
          <w:szCs w:val="21"/>
          <w:lang w:val="en-US" w:eastAsia="zh-CN"/>
        </w:rPr>
        <w:t>5）</w:t>
      </w:r>
      <w:r>
        <w:rPr>
          <w:rFonts w:hint="eastAsia" w:ascii="宋体" w:hAnsi="宋体" w:eastAsia="宋体" w:cs="宋体"/>
          <w:color w:val="auto"/>
          <w:szCs w:val="21"/>
        </w:rPr>
        <w:t>自评阶段</w:t>
      </w:r>
      <w:r>
        <w:rPr>
          <w:rFonts w:hint="default" w:ascii="宋体" w:hAnsi="宋体" w:eastAsia="宋体" w:cs="宋体"/>
          <w:color w:val="auto"/>
          <w:szCs w:val="21"/>
        </w:rPr>
        <w:t>：</w:t>
      </w:r>
      <w:r>
        <w:rPr>
          <w:rFonts w:hint="eastAsia" w:ascii="宋体" w:hAnsi="宋体" w:eastAsia="宋体" w:cs="宋体"/>
          <w:color w:val="auto"/>
          <w:szCs w:val="21"/>
        </w:rPr>
        <w:t>对安全生产标准化实施情况进行综合评估。</w:t>
      </w:r>
    </w:p>
    <w:p w14:paraId="389C7362">
      <w:pPr>
        <w:pStyle w:val="181"/>
        <w:numPr>
          <w:ilvl w:val="0"/>
          <w:numId w:val="0"/>
        </w:numPr>
        <w:tabs>
          <w:tab w:val="left" w:pos="840"/>
        </w:tabs>
        <w:ind w:left="0" w:firstLine="420" w:firstLineChars="200"/>
        <w:rPr>
          <w:rFonts w:hint="eastAsia" w:ascii="宋体" w:hAnsi="宋体" w:eastAsia="宋体" w:cs="宋体"/>
          <w:color w:val="auto"/>
          <w:szCs w:val="21"/>
        </w:rPr>
      </w:pPr>
      <w:r>
        <w:rPr>
          <w:rFonts w:hint="eastAsia" w:hAnsi="宋体" w:cs="宋体"/>
          <w:color w:val="auto"/>
          <w:szCs w:val="21"/>
          <w:lang w:val="en-US" w:eastAsia="zh-CN"/>
        </w:rPr>
        <w:t>6）</w:t>
      </w:r>
      <w:r>
        <w:rPr>
          <w:rFonts w:hint="eastAsia" w:ascii="宋体" w:hAnsi="宋体" w:eastAsia="宋体" w:cs="宋体"/>
          <w:color w:val="auto"/>
          <w:szCs w:val="21"/>
        </w:rPr>
        <w:t>改进</w:t>
      </w:r>
      <w:r>
        <w:rPr>
          <w:rFonts w:hint="default" w:ascii="宋体" w:hAnsi="宋体" w:eastAsia="宋体" w:cs="宋体"/>
          <w:color w:val="auto"/>
          <w:szCs w:val="21"/>
        </w:rPr>
        <w:t>提升</w:t>
      </w:r>
      <w:r>
        <w:rPr>
          <w:rFonts w:hint="eastAsia" w:ascii="宋体" w:hAnsi="宋体" w:eastAsia="宋体" w:cs="宋体"/>
          <w:color w:val="auto"/>
          <w:szCs w:val="21"/>
        </w:rPr>
        <w:t>阶段</w:t>
      </w:r>
      <w:r>
        <w:rPr>
          <w:rFonts w:hint="default" w:ascii="宋体" w:hAnsi="宋体" w:eastAsia="宋体" w:cs="宋体"/>
          <w:color w:val="auto"/>
          <w:szCs w:val="21"/>
        </w:rPr>
        <w:t>：</w:t>
      </w:r>
      <w:r>
        <w:rPr>
          <w:rFonts w:hint="eastAsia" w:ascii="宋体" w:hAnsi="宋体" w:eastAsia="宋体" w:cs="宋体"/>
          <w:color w:val="auto"/>
          <w:szCs w:val="21"/>
        </w:rPr>
        <w:t>根据自评结果，提出改进安全生产标准化运行质效的措施。</w:t>
      </w:r>
      <w:bookmarkEnd w:id="152"/>
      <w:bookmarkEnd w:id="153"/>
    </w:p>
    <w:p w14:paraId="765604A8">
      <w:pPr>
        <w:pStyle w:val="113"/>
        <w:spacing w:before="321" w:after="321"/>
        <w:rPr>
          <w:color w:val="auto"/>
          <w:szCs w:val="21"/>
        </w:rPr>
      </w:pPr>
      <w:bookmarkStart w:id="154" w:name="_Toc19235"/>
      <w:bookmarkStart w:id="155" w:name="_Toc21461"/>
      <w:bookmarkStart w:id="156" w:name="_Toc28643"/>
      <w:bookmarkStart w:id="157" w:name="_Toc1733"/>
      <w:bookmarkStart w:id="158" w:name="_Toc1712"/>
      <w:bookmarkStart w:id="159" w:name="_Toc9198"/>
      <w:bookmarkStart w:id="160" w:name="_Toc17732"/>
      <w:bookmarkStart w:id="161" w:name="_Toc20226"/>
      <w:bookmarkStart w:id="162" w:name="_Toc924"/>
      <w:bookmarkStart w:id="163" w:name="_Toc5439"/>
      <w:bookmarkStart w:id="164" w:name="_Toc495"/>
      <w:bookmarkStart w:id="165" w:name="_Toc22916"/>
      <w:bookmarkStart w:id="166" w:name="_Toc29770"/>
      <w:bookmarkStart w:id="167" w:name="_Toc21538"/>
      <w:bookmarkStart w:id="168" w:name="_Toc13932"/>
      <w:bookmarkStart w:id="169" w:name="_Toc18211"/>
      <w:bookmarkStart w:id="170" w:name="_Toc1330"/>
      <w:r>
        <w:rPr>
          <w:rFonts w:hint="eastAsia"/>
          <w:color w:val="auto"/>
          <w:szCs w:val="21"/>
        </w:rPr>
        <w:t>管理要素</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12F6D388">
      <w:pPr>
        <w:pStyle w:val="114"/>
        <w:spacing w:before="160" w:after="160"/>
        <w:rPr>
          <w:color w:val="auto"/>
          <w:szCs w:val="21"/>
        </w:rPr>
      </w:pPr>
      <w:bookmarkStart w:id="171" w:name="_Toc9939"/>
      <w:bookmarkStart w:id="172" w:name="_Toc7518"/>
      <w:bookmarkStart w:id="173" w:name="_Toc8105"/>
      <w:bookmarkStart w:id="174" w:name="_Toc11688"/>
      <w:bookmarkStart w:id="175" w:name="_Toc9365"/>
      <w:bookmarkStart w:id="176" w:name="_Toc29866"/>
      <w:bookmarkStart w:id="177" w:name="_Toc13837"/>
      <w:bookmarkStart w:id="178" w:name="_Toc12875"/>
      <w:bookmarkStart w:id="179" w:name="_Toc29286"/>
      <w:bookmarkStart w:id="180" w:name="_Toc3415"/>
      <w:bookmarkStart w:id="181" w:name="_Toc21083"/>
      <w:bookmarkStart w:id="182" w:name="_Toc11860"/>
      <w:bookmarkStart w:id="183" w:name="_Toc12831"/>
      <w:bookmarkStart w:id="184" w:name="_Toc13382"/>
      <w:bookmarkStart w:id="185" w:name="_Toc7172"/>
      <w:bookmarkStart w:id="186" w:name="_Toc27296"/>
      <w:bookmarkStart w:id="187" w:name="_Toc17524"/>
      <w:bookmarkStart w:id="188" w:name="_Toc24115"/>
      <w:bookmarkStart w:id="189" w:name="_Toc26959"/>
      <w:bookmarkStart w:id="190" w:name="_Toc5603"/>
      <w:bookmarkStart w:id="191" w:name="_Toc17948"/>
      <w:bookmarkStart w:id="192" w:name="_Toc30618"/>
      <w:bookmarkStart w:id="193" w:name="_Toc3575"/>
      <w:bookmarkStart w:id="194" w:name="_Toc2897"/>
      <w:r>
        <w:rPr>
          <w:rFonts w:hint="eastAsia"/>
          <w:color w:val="auto"/>
          <w:szCs w:val="21"/>
        </w:rPr>
        <w:t>安全领导力</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1B895CC8">
      <w:pPr>
        <w:pStyle w:val="79"/>
        <w:spacing w:before="160" w:after="160"/>
        <w:rPr>
          <w:rFonts w:hint="eastAsia"/>
          <w:color w:val="auto"/>
          <w:szCs w:val="21"/>
        </w:rPr>
      </w:pPr>
      <w:bookmarkStart w:id="195" w:name="_Toc19611"/>
      <w:bookmarkStart w:id="196" w:name="_Toc12805"/>
      <w:bookmarkStart w:id="197" w:name="_Toc6118"/>
      <w:bookmarkStart w:id="198" w:name="_Toc10348"/>
      <w:bookmarkStart w:id="199" w:name="_Toc29441"/>
      <w:bookmarkStart w:id="200" w:name="_Toc29921"/>
      <w:bookmarkStart w:id="201" w:name="_Toc29368"/>
      <w:bookmarkStart w:id="202" w:name="_Toc14751"/>
      <w:bookmarkStart w:id="203" w:name="_Toc14337"/>
      <w:bookmarkStart w:id="204" w:name="_Toc16747"/>
      <w:bookmarkStart w:id="205" w:name="_Toc2564"/>
      <w:bookmarkStart w:id="206" w:name="_Toc4743"/>
      <w:bookmarkStart w:id="207" w:name="_Toc15920"/>
      <w:bookmarkStart w:id="208" w:name="_Toc1841"/>
      <w:bookmarkStart w:id="209" w:name="_Toc19211"/>
      <w:bookmarkStart w:id="210" w:name="_Toc29512"/>
      <w:bookmarkStart w:id="211" w:name="_Toc30789"/>
      <w:bookmarkStart w:id="212" w:name="_Toc14526"/>
      <w:bookmarkStart w:id="213" w:name="_Toc22454"/>
      <w:bookmarkStart w:id="214" w:name="_Toc22809"/>
      <w:bookmarkStart w:id="215" w:name="_Toc11311"/>
      <w:bookmarkStart w:id="216" w:name="_Toc25265"/>
      <w:bookmarkStart w:id="217" w:name="_Toc16716"/>
      <w:bookmarkStart w:id="218" w:name="_Toc22169"/>
      <w:bookmarkStart w:id="219" w:name="_Toc62826417"/>
      <w:bookmarkStart w:id="220" w:name="_Toc62828519"/>
      <w:r>
        <w:rPr>
          <w:rFonts w:hint="eastAsia"/>
          <w:color w:val="auto"/>
          <w:szCs w:val="21"/>
          <w:lang w:bidi="ar"/>
        </w:rPr>
        <w:t>安全</w:t>
      </w:r>
      <w:r>
        <w:rPr>
          <w:rFonts w:hint="eastAsia"/>
          <w:color w:val="auto"/>
          <w:szCs w:val="21"/>
          <w:lang w:val="en-US" w:eastAsia="zh-CN" w:bidi="ar"/>
        </w:rPr>
        <w:t>方针、</w:t>
      </w:r>
      <w:r>
        <w:rPr>
          <w:rFonts w:hint="eastAsia"/>
          <w:color w:val="auto"/>
          <w:szCs w:val="21"/>
          <w:lang w:bidi="ar"/>
        </w:rPr>
        <w:t>目标</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rFonts w:hint="eastAsia"/>
          <w:color w:val="auto"/>
          <w:szCs w:val="21"/>
          <w:lang w:val="en-US" w:eastAsia="zh-CN" w:bidi="ar"/>
        </w:rPr>
        <w:t>和战略</w:t>
      </w:r>
      <w:bookmarkEnd w:id="217"/>
      <w:bookmarkEnd w:id="218"/>
    </w:p>
    <w:p w14:paraId="68DDEB98">
      <w:pPr>
        <w:pStyle w:val="171"/>
        <w:ind w:left="0" w:hanging="10"/>
        <w:rPr>
          <w:color w:val="auto"/>
          <w:szCs w:val="21"/>
        </w:rPr>
      </w:pPr>
      <w:bookmarkStart w:id="221" w:name="OLE_LINK1"/>
      <w:r>
        <w:rPr>
          <w:rFonts w:hint="eastAsia"/>
          <w:color w:val="auto"/>
          <w:szCs w:val="21"/>
        </w:rPr>
        <w:t>企业应</w:t>
      </w:r>
      <w:r>
        <w:rPr>
          <w:rFonts w:hint="eastAsia"/>
          <w:color w:val="auto"/>
          <w:szCs w:val="21"/>
          <w:lang w:val="en-US" w:eastAsia="zh-CN"/>
        </w:rPr>
        <w:t>坚持</w:t>
      </w:r>
      <w:r>
        <w:rPr>
          <w:rFonts w:hint="eastAsia"/>
          <w:color w:val="auto"/>
          <w:szCs w:val="21"/>
        </w:rPr>
        <w:t>“安全第一、预防为主、综合治理”的安全生产方针</w:t>
      </w:r>
      <w:bookmarkEnd w:id="221"/>
      <w:r>
        <w:rPr>
          <w:rFonts w:hint="eastAsia"/>
          <w:color w:val="auto"/>
          <w:szCs w:val="21"/>
        </w:rPr>
        <w:t>，组织制定与企业安全风险相匹配的具体、量化的年度安全生产目标。</w:t>
      </w:r>
    </w:p>
    <w:p w14:paraId="1B639C24">
      <w:pPr>
        <w:pStyle w:val="171"/>
        <w:ind w:left="0" w:hanging="10"/>
        <w:rPr>
          <w:color w:val="auto"/>
          <w:szCs w:val="21"/>
        </w:rPr>
      </w:pPr>
      <w:r>
        <w:rPr>
          <w:rFonts w:hint="eastAsia"/>
          <w:color w:val="auto"/>
          <w:szCs w:val="21"/>
        </w:rPr>
        <w:t>企业应将年度安全生产目标分解为安全生产指标，逐级签订安全生产目标责任书，定期考核安全生产目标、指标完成情况。</w:t>
      </w:r>
    </w:p>
    <w:p w14:paraId="604F2B80">
      <w:pPr>
        <w:pStyle w:val="171"/>
        <w:ind w:left="0" w:hanging="10"/>
        <w:rPr>
          <w:color w:val="auto"/>
          <w:szCs w:val="21"/>
        </w:rPr>
      </w:pPr>
      <w:r>
        <w:rPr>
          <w:rFonts w:hint="eastAsia"/>
          <w:color w:val="auto"/>
          <w:szCs w:val="21"/>
        </w:rPr>
        <w:t>企业应遵循国家相关法规和政策，强化安全管理和</w:t>
      </w:r>
      <w:r>
        <w:rPr>
          <w:rFonts w:hint="eastAsia"/>
          <w:color w:val="auto"/>
          <w:szCs w:val="21"/>
          <w:lang w:eastAsia="zh-CN"/>
        </w:rPr>
        <w:t>安全风险</w:t>
      </w:r>
      <w:r>
        <w:rPr>
          <w:rFonts w:hint="eastAsia"/>
          <w:color w:val="auto"/>
          <w:szCs w:val="21"/>
        </w:rPr>
        <w:t>控制，</w:t>
      </w:r>
      <w:r>
        <w:rPr>
          <w:rFonts w:hint="eastAsia"/>
          <w:color w:val="auto"/>
          <w:szCs w:val="21"/>
          <w:lang w:val="en-US" w:eastAsia="zh-CN"/>
        </w:rPr>
        <w:t>制定</w:t>
      </w:r>
      <w:r>
        <w:rPr>
          <w:rFonts w:hint="eastAsia"/>
          <w:color w:val="auto"/>
          <w:szCs w:val="21"/>
        </w:rPr>
        <w:t>安全</w:t>
      </w:r>
      <w:r>
        <w:rPr>
          <w:rFonts w:hint="eastAsia"/>
          <w:color w:val="auto"/>
          <w:szCs w:val="21"/>
          <w:lang w:val="en-US" w:eastAsia="zh-CN"/>
        </w:rPr>
        <w:t>发展</w:t>
      </w:r>
      <w:r>
        <w:rPr>
          <w:rFonts w:hint="eastAsia"/>
          <w:color w:val="auto"/>
          <w:szCs w:val="21"/>
        </w:rPr>
        <w:t>战略</w:t>
      </w:r>
      <w:r>
        <w:rPr>
          <w:rFonts w:hint="eastAsia"/>
          <w:color w:val="auto"/>
          <w:szCs w:val="21"/>
          <w:lang w:eastAsia="zh-CN"/>
        </w:rPr>
        <w:t>，</w:t>
      </w:r>
      <w:r>
        <w:rPr>
          <w:rFonts w:hint="eastAsia"/>
          <w:color w:val="auto"/>
          <w:szCs w:val="21"/>
        </w:rPr>
        <w:t>建立安全生产长效机制。</w:t>
      </w:r>
    </w:p>
    <w:bookmarkEnd w:id="219"/>
    <w:bookmarkEnd w:id="220"/>
    <w:p w14:paraId="18F7A62F">
      <w:pPr>
        <w:pStyle w:val="79"/>
        <w:spacing w:before="160" w:after="160"/>
        <w:rPr>
          <w:color w:val="auto"/>
          <w:szCs w:val="21"/>
        </w:rPr>
      </w:pPr>
      <w:bookmarkStart w:id="222" w:name="_Toc16770"/>
      <w:bookmarkStart w:id="223" w:name="_Toc5980"/>
      <w:bookmarkStart w:id="224" w:name="_Toc24886"/>
      <w:bookmarkStart w:id="225" w:name="_Toc14690"/>
      <w:r>
        <w:rPr>
          <w:rFonts w:hint="eastAsia"/>
          <w:color w:val="auto"/>
          <w:szCs w:val="21"/>
        </w:rPr>
        <w:t>安全承诺</w:t>
      </w:r>
      <w:bookmarkEnd w:id="222"/>
      <w:bookmarkEnd w:id="223"/>
      <w:bookmarkEnd w:id="224"/>
      <w:bookmarkEnd w:id="225"/>
    </w:p>
    <w:p w14:paraId="4413C46A">
      <w:pPr>
        <w:pStyle w:val="171"/>
        <w:ind w:left="0" w:hanging="10"/>
        <w:rPr>
          <w:rFonts w:hint="eastAsia"/>
          <w:color w:val="auto"/>
          <w:szCs w:val="21"/>
        </w:rPr>
      </w:pPr>
      <w:r>
        <w:rPr>
          <w:rFonts w:hint="eastAsia"/>
          <w:color w:val="auto"/>
          <w:szCs w:val="21"/>
        </w:rPr>
        <w:t>企业应</w:t>
      </w:r>
      <w:r>
        <w:rPr>
          <w:rFonts w:hint="default"/>
          <w:color w:val="auto"/>
          <w:szCs w:val="21"/>
        </w:rPr>
        <w:t>建立</w:t>
      </w:r>
      <w:r>
        <w:rPr>
          <w:rFonts w:hint="eastAsia"/>
          <w:color w:val="auto"/>
          <w:szCs w:val="21"/>
          <w:highlight w:val="none"/>
        </w:rPr>
        <w:t>明确的、文件化</w:t>
      </w:r>
      <w:r>
        <w:rPr>
          <w:rFonts w:hint="eastAsia"/>
          <w:color w:val="auto"/>
          <w:szCs w:val="21"/>
        </w:rPr>
        <w:t>的安全承诺</w:t>
      </w:r>
      <w:r>
        <w:rPr>
          <w:rFonts w:hint="default"/>
          <w:color w:val="auto"/>
          <w:szCs w:val="21"/>
        </w:rPr>
        <w:t>，承诺内容</w:t>
      </w:r>
      <w:r>
        <w:rPr>
          <w:rFonts w:hint="eastAsia" w:ascii="宋体" w:hAnsi="Times New Roman" w:eastAsia="宋体" w:cs="Times New Roman"/>
          <w:color w:val="auto"/>
          <w:szCs w:val="21"/>
          <w:highlight w:val="none"/>
        </w:rPr>
        <w:t>包括安全价值观、安全愿景、安全使命和安全目标等。</w:t>
      </w:r>
    </w:p>
    <w:p w14:paraId="1BF3AD5B">
      <w:pPr>
        <w:pStyle w:val="171"/>
        <w:ind w:left="0" w:hanging="10"/>
        <w:rPr>
          <w:rFonts w:hint="eastAsia"/>
          <w:color w:val="auto"/>
          <w:szCs w:val="21"/>
        </w:rPr>
      </w:pPr>
      <w:r>
        <w:rPr>
          <w:rFonts w:hint="default"/>
          <w:color w:val="auto"/>
          <w:szCs w:val="21"/>
        </w:rPr>
        <w:t>企业主要负责人应对安全承诺作出表率,让各级管理者和员工切身感受到领导者对安全承诺的实践。</w:t>
      </w:r>
    </w:p>
    <w:p w14:paraId="1801340D">
      <w:pPr>
        <w:pStyle w:val="171"/>
        <w:ind w:left="0" w:hanging="10"/>
        <w:rPr>
          <w:color w:val="auto"/>
          <w:szCs w:val="21"/>
        </w:rPr>
      </w:pPr>
      <w:r>
        <w:rPr>
          <w:rFonts w:hint="eastAsia"/>
          <w:color w:val="auto"/>
          <w:szCs w:val="21"/>
        </w:rPr>
        <w:t>企业主要负责人应</w:t>
      </w:r>
      <w:r>
        <w:rPr>
          <w:rFonts w:hint="eastAsia"/>
          <w:color w:val="auto"/>
          <w:szCs w:val="21"/>
          <w:lang w:val="en-US" w:eastAsia="zh-CN"/>
        </w:rPr>
        <w:t>组织</w:t>
      </w:r>
      <w:r>
        <w:rPr>
          <w:rFonts w:hint="eastAsia"/>
          <w:color w:val="auto"/>
          <w:szCs w:val="21"/>
        </w:rPr>
        <w:t>建立全员参与的安全生产标准化工作机制，</w:t>
      </w:r>
      <w:r>
        <w:rPr>
          <w:rFonts w:hint="default"/>
          <w:color w:val="auto"/>
          <w:szCs w:val="21"/>
        </w:rPr>
        <w:t>承诺并践行为</w:t>
      </w:r>
      <w:r>
        <w:rPr>
          <w:rFonts w:hint="eastAsia"/>
          <w:color w:val="auto"/>
          <w:szCs w:val="21"/>
        </w:rPr>
        <w:t>安全生产标准化推进实施提供人力、物力和财力等资源支持。</w:t>
      </w:r>
    </w:p>
    <w:p w14:paraId="0B2E3D75">
      <w:pPr>
        <w:pStyle w:val="79"/>
        <w:spacing w:before="160" w:after="160"/>
        <w:rPr>
          <w:color w:val="auto"/>
          <w:szCs w:val="21"/>
        </w:rPr>
      </w:pPr>
      <w:bookmarkStart w:id="226" w:name="_Toc1171"/>
      <w:bookmarkStart w:id="227" w:name="_Toc28741"/>
      <w:bookmarkStart w:id="228" w:name="_Toc6770"/>
      <w:bookmarkStart w:id="229" w:name="_Toc23043"/>
      <w:bookmarkStart w:id="230" w:name="_Toc3818"/>
      <w:bookmarkStart w:id="231" w:name="_Toc23772"/>
      <w:bookmarkStart w:id="232" w:name="_Toc8956"/>
      <w:bookmarkStart w:id="233" w:name="_Toc1658"/>
      <w:bookmarkStart w:id="234" w:name="_Toc21934"/>
      <w:bookmarkStart w:id="235" w:name="_Toc2073"/>
      <w:bookmarkStart w:id="236" w:name="_Toc7728"/>
      <w:bookmarkStart w:id="237" w:name="_Toc250"/>
      <w:bookmarkStart w:id="238" w:name="_Toc62826420"/>
      <w:bookmarkStart w:id="239" w:name="_Toc21790"/>
      <w:bookmarkStart w:id="240" w:name="_Toc27845"/>
      <w:bookmarkStart w:id="241" w:name="_Toc7918"/>
      <w:bookmarkStart w:id="242" w:name="_Toc21223"/>
      <w:bookmarkStart w:id="243" w:name="_Toc3631"/>
      <w:bookmarkStart w:id="244" w:name="_Toc6310"/>
      <w:bookmarkStart w:id="245" w:name="_Toc6242"/>
      <w:bookmarkStart w:id="246" w:name="_Toc9742"/>
      <w:bookmarkStart w:id="247" w:name="_Toc11971"/>
      <w:bookmarkStart w:id="248" w:name="_Toc7073"/>
      <w:bookmarkStart w:id="249" w:name="_Toc6466"/>
      <w:bookmarkStart w:id="250" w:name="_Toc62828522"/>
      <w:bookmarkStart w:id="251" w:name="_Toc29058"/>
      <w:r>
        <w:rPr>
          <w:rFonts w:hint="eastAsia"/>
          <w:color w:val="auto"/>
          <w:szCs w:val="21"/>
        </w:rPr>
        <w:t>组织机构</w:t>
      </w:r>
      <w:bookmarkEnd w:id="226"/>
      <w:bookmarkEnd w:id="227"/>
      <w:bookmarkEnd w:id="228"/>
      <w:bookmarkEnd w:id="229"/>
    </w:p>
    <w:p w14:paraId="49FC700A">
      <w:pPr>
        <w:pStyle w:val="171"/>
        <w:ind w:left="0" w:hanging="10"/>
        <w:rPr>
          <w:color w:val="auto"/>
          <w:szCs w:val="21"/>
        </w:rPr>
      </w:pPr>
      <w:r>
        <w:rPr>
          <w:rFonts w:hint="eastAsia"/>
          <w:color w:val="auto"/>
          <w:szCs w:val="21"/>
        </w:rPr>
        <w:t>企业</w:t>
      </w:r>
      <w:r>
        <w:rPr>
          <w:rFonts w:hint="eastAsia"/>
          <w:color w:val="auto"/>
          <w:szCs w:val="21"/>
          <w:highlight w:val="none"/>
        </w:rPr>
        <w:t>应明确主要负责人是安全生产第一责任人，对</w:t>
      </w:r>
      <w:r>
        <w:rPr>
          <w:rFonts w:hint="eastAsia"/>
          <w:color w:val="auto"/>
          <w:szCs w:val="21"/>
          <w:highlight w:val="none"/>
          <w:lang w:eastAsia="zh-CN"/>
        </w:rPr>
        <w:t>本企业</w:t>
      </w:r>
      <w:r>
        <w:rPr>
          <w:rFonts w:hint="eastAsia"/>
          <w:color w:val="auto"/>
          <w:szCs w:val="21"/>
          <w:highlight w:val="none"/>
        </w:rPr>
        <w:t>的安全生产工作全面负责，并组织各级负责人落实安全生产责任制和安全生产</w:t>
      </w:r>
      <w:r>
        <w:rPr>
          <w:rFonts w:hint="eastAsia"/>
          <w:color w:val="auto"/>
          <w:szCs w:val="21"/>
          <w:highlight w:val="none"/>
          <w:lang w:val="en-US" w:eastAsia="zh-CN"/>
        </w:rPr>
        <w:t>规章</w:t>
      </w:r>
      <w:r>
        <w:rPr>
          <w:rFonts w:hint="eastAsia"/>
          <w:color w:val="auto"/>
          <w:szCs w:val="21"/>
          <w:highlight w:val="none"/>
        </w:rPr>
        <w:t>制度。</w:t>
      </w:r>
    </w:p>
    <w:p w14:paraId="2A8F0CBB">
      <w:pPr>
        <w:pStyle w:val="171"/>
        <w:ind w:left="0" w:hanging="10"/>
        <w:rPr>
          <w:color w:val="auto"/>
          <w:szCs w:val="21"/>
        </w:rPr>
      </w:pPr>
      <w:r>
        <w:rPr>
          <w:rFonts w:hint="eastAsia"/>
          <w:color w:val="auto"/>
          <w:szCs w:val="21"/>
        </w:rPr>
        <w:t>企业应依法设置安全生产管理机构或配备专职安全生产管理人员。专职安全生产管理人员配备</w:t>
      </w:r>
      <w:r>
        <w:rPr>
          <w:rFonts w:hint="eastAsia"/>
          <w:color w:val="auto"/>
          <w:szCs w:val="21"/>
          <w:highlight w:val="none"/>
        </w:rPr>
        <w:t>数量、学历、职称</w:t>
      </w:r>
      <w:r>
        <w:rPr>
          <w:rFonts w:hint="default"/>
          <w:color w:val="auto"/>
          <w:szCs w:val="21"/>
          <w:highlight w:val="none"/>
        </w:rPr>
        <w:t>、工作经验</w:t>
      </w:r>
      <w:r>
        <w:rPr>
          <w:rFonts w:hint="eastAsia"/>
          <w:color w:val="auto"/>
          <w:szCs w:val="21"/>
        </w:rPr>
        <w:t>等应满足规定要求</w:t>
      </w:r>
      <w:r>
        <w:rPr>
          <w:rFonts w:hint="default"/>
          <w:color w:val="auto"/>
          <w:szCs w:val="21"/>
        </w:rPr>
        <w:t>，</w:t>
      </w:r>
      <w:r>
        <w:rPr>
          <w:rFonts w:hint="eastAsia"/>
          <w:color w:val="auto"/>
          <w:szCs w:val="21"/>
        </w:rPr>
        <w:t>专门从事安全管理工作。</w:t>
      </w:r>
    </w:p>
    <w:p w14:paraId="0E931808">
      <w:pPr>
        <w:pStyle w:val="171"/>
        <w:ind w:left="0" w:hanging="10"/>
        <w:rPr>
          <w:color w:val="auto"/>
          <w:szCs w:val="21"/>
        </w:rPr>
      </w:pPr>
      <w:r>
        <w:rPr>
          <w:rFonts w:hint="eastAsia"/>
          <w:color w:val="auto"/>
          <w:szCs w:val="21"/>
        </w:rPr>
        <w:t>企业应建立健全安全生产管理网络，明确各级组织负责安全生产的人员。</w:t>
      </w:r>
    </w:p>
    <w:p w14:paraId="1DDE8069">
      <w:pPr>
        <w:pStyle w:val="79"/>
        <w:spacing w:before="160" w:after="160"/>
        <w:rPr>
          <w:color w:val="auto"/>
          <w:szCs w:val="21"/>
        </w:rPr>
      </w:pPr>
      <w:bookmarkStart w:id="252" w:name="_Toc21876"/>
      <w:bookmarkStart w:id="253" w:name="_Toc4664"/>
      <w:bookmarkStart w:id="254" w:name="_Toc12420"/>
      <w:bookmarkStart w:id="255" w:name="_Toc19750"/>
      <w:r>
        <w:rPr>
          <w:rFonts w:hint="eastAsia"/>
          <w:color w:val="auto"/>
          <w:szCs w:val="21"/>
        </w:rPr>
        <w:t>安全生产投入保障</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78878355">
      <w:pPr>
        <w:pStyle w:val="171"/>
        <w:ind w:left="0" w:hanging="10"/>
        <w:rPr>
          <w:color w:val="auto"/>
          <w:szCs w:val="21"/>
        </w:rPr>
      </w:pPr>
      <w:r>
        <w:rPr>
          <w:rFonts w:hint="eastAsia"/>
          <w:color w:val="auto"/>
          <w:szCs w:val="21"/>
          <w:lang w:val="en-US" w:eastAsia="zh-CN"/>
        </w:rPr>
        <w:t>企业应建立安全生产费用投入保障机制，保证本企业具备安全生产法律法规、标准规定的安全生产条件。</w:t>
      </w:r>
    </w:p>
    <w:p w14:paraId="0BA7CAAA">
      <w:pPr>
        <w:pStyle w:val="171"/>
        <w:ind w:left="0" w:hanging="10"/>
        <w:rPr>
          <w:color w:val="auto"/>
          <w:szCs w:val="21"/>
        </w:rPr>
      </w:pPr>
      <w:r>
        <w:rPr>
          <w:rFonts w:hint="eastAsia"/>
          <w:color w:val="auto"/>
          <w:szCs w:val="21"/>
        </w:rPr>
        <w:t>企业应依据国家及当地政府有关规定</w:t>
      </w:r>
      <w:r>
        <w:rPr>
          <w:rFonts w:hint="eastAsia"/>
          <w:color w:val="auto"/>
          <w:szCs w:val="21"/>
          <w:lang w:val="en-US" w:eastAsia="zh-CN"/>
        </w:rPr>
        <w:t>足额</w:t>
      </w:r>
      <w:r>
        <w:rPr>
          <w:rFonts w:hint="eastAsia"/>
          <w:color w:val="auto"/>
          <w:szCs w:val="21"/>
        </w:rPr>
        <w:t>提取和使用安全生产费用，专项用于改善安全生产条件。</w:t>
      </w:r>
    </w:p>
    <w:p w14:paraId="2B1077BA">
      <w:pPr>
        <w:pStyle w:val="171"/>
        <w:ind w:left="0" w:hanging="10"/>
        <w:rPr>
          <w:color w:val="auto"/>
          <w:szCs w:val="21"/>
        </w:rPr>
      </w:pPr>
      <w:r>
        <w:rPr>
          <w:rFonts w:hint="eastAsia"/>
          <w:color w:val="auto"/>
          <w:szCs w:val="21"/>
          <w:highlight w:val="none"/>
        </w:rPr>
        <w:t>企业应实施安全生产数字化建设</w:t>
      </w:r>
      <w:r>
        <w:rPr>
          <w:rFonts w:hint="default"/>
          <w:color w:val="auto"/>
          <w:szCs w:val="21"/>
          <w:highlight w:val="none"/>
        </w:rPr>
        <w:t>安全投入</w:t>
      </w:r>
      <w:r>
        <w:rPr>
          <w:rFonts w:hint="eastAsia"/>
          <w:color w:val="auto"/>
          <w:szCs w:val="21"/>
        </w:rPr>
        <w:t>，</w:t>
      </w:r>
      <w:r>
        <w:rPr>
          <w:rFonts w:hint="default"/>
          <w:color w:val="auto"/>
          <w:szCs w:val="21"/>
        </w:rPr>
        <w:t>根据企业实际，</w:t>
      </w:r>
      <w:r>
        <w:rPr>
          <w:rFonts w:hint="eastAsia"/>
          <w:color w:val="auto"/>
          <w:szCs w:val="21"/>
        </w:rPr>
        <w:t>构建</w:t>
      </w:r>
      <w:r>
        <w:rPr>
          <w:rFonts w:hint="default"/>
          <w:color w:val="auto"/>
          <w:szCs w:val="21"/>
        </w:rPr>
        <w:t>危险化学品安全生产风险监测预警系统、双重预防机制数字化系统、特殊作业许可与作业过程管理系统、人员定位系统、承包商管理系统、视频监控与智能分析系统等</w:t>
      </w:r>
      <w:r>
        <w:rPr>
          <w:rFonts w:hint="eastAsia"/>
          <w:color w:val="auto"/>
          <w:szCs w:val="21"/>
        </w:rPr>
        <w:t>安全生产数字化系统，提升安全管理质效。</w:t>
      </w:r>
    </w:p>
    <w:p w14:paraId="7C71887E">
      <w:pPr>
        <w:pStyle w:val="171"/>
        <w:ind w:left="0" w:hanging="10"/>
        <w:rPr>
          <w:color w:val="auto"/>
          <w:szCs w:val="21"/>
        </w:rPr>
      </w:pPr>
      <w:r>
        <w:rPr>
          <w:rFonts w:hint="eastAsia"/>
          <w:color w:val="auto"/>
          <w:szCs w:val="21"/>
        </w:rPr>
        <w:t>企业应至少每年对安全生产数字化</w:t>
      </w:r>
      <w:r>
        <w:rPr>
          <w:rFonts w:hint="eastAsia"/>
          <w:color w:val="auto"/>
          <w:szCs w:val="21"/>
          <w:lang w:val="en-US" w:eastAsia="zh-CN"/>
        </w:rPr>
        <w:t>系统</w:t>
      </w:r>
      <w:r>
        <w:rPr>
          <w:rFonts w:hint="eastAsia"/>
          <w:color w:val="auto"/>
          <w:szCs w:val="21"/>
        </w:rPr>
        <w:t>运行状况进行评估，根据评估结果改进</w:t>
      </w:r>
      <w:r>
        <w:rPr>
          <w:rFonts w:hint="eastAsia"/>
          <w:color w:val="auto"/>
          <w:szCs w:val="21"/>
          <w:lang w:val="en-US" w:eastAsia="zh-CN"/>
        </w:rPr>
        <w:t>提升</w:t>
      </w:r>
      <w:r>
        <w:rPr>
          <w:rFonts w:hint="eastAsia"/>
          <w:color w:val="auto"/>
          <w:szCs w:val="21"/>
        </w:rPr>
        <w:t>，确保数字化系统与安全管理要求的一致性。</w:t>
      </w:r>
    </w:p>
    <w:p w14:paraId="261B2C62">
      <w:pPr>
        <w:pStyle w:val="79"/>
        <w:spacing w:before="160" w:after="160"/>
        <w:rPr>
          <w:color w:val="auto"/>
          <w:szCs w:val="21"/>
        </w:rPr>
      </w:pPr>
      <w:bookmarkStart w:id="256" w:name="_Toc29430"/>
      <w:bookmarkStart w:id="257" w:name="_Toc16725"/>
      <w:bookmarkStart w:id="258" w:name="_Toc1149"/>
      <w:bookmarkStart w:id="259" w:name="_Toc19110"/>
      <w:bookmarkStart w:id="260" w:name="_Toc10902"/>
      <w:bookmarkStart w:id="261" w:name="_Toc3896"/>
      <w:bookmarkStart w:id="262" w:name="_Toc23163"/>
      <w:bookmarkStart w:id="263" w:name="_Toc11705"/>
      <w:bookmarkStart w:id="264" w:name="_Toc22242"/>
      <w:bookmarkStart w:id="265" w:name="_Toc28137"/>
      <w:bookmarkStart w:id="266" w:name="_Toc123"/>
      <w:bookmarkStart w:id="267" w:name="_Toc11308"/>
      <w:bookmarkStart w:id="268" w:name="_Toc14001"/>
      <w:bookmarkStart w:id="269" w:name="_Toc24866"/>
      <w:bookmarkStart w:id="270" w:name="_Toc17845"/>
      <w:bookmarkStart w:id="271" w:name="_Toc28327"/>
      <w:bookmarkStart w:id="272" w:name="_Toc11516"/>
      <w:bookmarkStart w:id="273" w:name="_Toc1503"/>
      <w:bookmarkStart w:id="274" w:name="_Toc6221"/>
      <w:bookmarkStart w:id="275" w:name="_Toc26728"/>
      <w:bookmarkStart w:id="276" w:name="_Toc8525"/>
      <w:bookmarkStart w:id="277" w:name="_Toc6807"/>
      <w:bookmarkStart w:id="278" w:name="OLE_LINK3"/>
      <w:r>
        <w:rPr>
          <w:rFonts w:hint="eastAsia"/>
          <w:color w:val="auto"/>
          <w:szCs w:val="21"/>
        </w:rPr>
        <w:t>安全文化建设</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bookmarkEnd w:id="278"/>
    <w:p w14:paraId="604DA728">
      <w:pPr>
        <w:pStyle w:val="171"/>
        <w:ind w:left="0" w:hanging="10"/>
        <w:rPr>
          <w:color w:val="auto"/>
          <w:szCs w:val="21"/>
        </w:rPr>
      </w:pPr>
      <w:r>
        <w:rPr>
          <w:rFonts w:hint="eastAsia"/>
          <w:color w:val="auto"/>
          <w:szCs w:val="21"/>
        </w:rPr>
        <w:t>企业应组织落实以人为本、生命至上的安全理念，保障员工的</w:t>
      </w:r>
      <w:r>
        <w:rPr>
          <w:rFonts w:hint="default"/>
          <w:color w:val="auto"/>
          <w:szCs w:val="21"/>
        </w:rPr>
        <w:t>健康</w:t>
      </w:r>
      <w:r>
        <w:rPr>
          <w:rFonts w:hint="eastAsia"/>
          <w:color w:val="auto"/>
          <w:szCs w:val="21"/>
        </w:rPr>
        <w:t>安全</w:t>
      </w:r>
      <w:r>
        <w:rPr>
          <w:rFonts w:hint="eastAsia"/>
          <w:color w:val="auto"/>
          <w:szCs w:val="21"/>
          <w:lang w:eastAsia="zh-CN"/>
        </w:rPr>
        <w:t>，</w:t>
      </w:r>
      <w:r>
        <w:rPr>
          <w:rFonts w:hint="eastAsia"/>
          <w:color w:val="auto"/>
          <w:szCs w:val="21"/>
          <w:lang w:val="en-US" w:eastAsia="zh-CN"/>
        </w:rPr>
        <w:t>建立以</w:t>
      </w:r>
      <w:r>
        <w:rPr>
          <w:rFonts w:hint="eastAsia"/>
          <w:color w:val="auto"/>
          <w:szCs w:val="21"/>
        </w:rPr>
        <w:t>尊重生命、‌安全</w:t>
      </w:r>
      <w:r>
        <w:rPr>
          <w:rFonts w:hint="default"/>
          <w:color w:val="auto"/>
          <w:szCs w:val="21"/>
        </w:rPr>
        <w:t>第一</w:t>
      </w:r>
      <w:r>
        <w:rPr>
          <w:rFonts w:hint="eastAsia"/>
          <w:color w:val="auto"/>
          <w:szCs w:val="21"/>
        </w:rPr>
        <w:t>、‌持续改进</w:t>
      </w:r>
      <w:r>
        <w:rPr>
          <w:rFonts w:hint="default"/>
          <w:color w:val="auto"/>
          <w:szCs w:val="21"/>
        </w:rPr>
        <w:t>、</w:t>
      </w:r>
      <w:r>
        <w:rPr>
          <w:rFonts w:hint="eastAsia"/>
          <w:color w:val="auto"/>
          <w:szCs w:val="21"/>
        </w:rPr>
        <w:t>追求卓越</w:t>
      </w:r>
      <w:r>
        <w:rPr>
          <w:rFonts w:hint="eastAsia"/>
          <w:color w:val="auto"/>
          <w:szCs w:val="21"/>
          <w:lang w:eastAsia="zh-CN"/>
        </w:rPr>
        <w:t>为主要内容的安全生产核心价值观。</w:t>
      </w:r>
    </w:p>
    <w:p w14:paraId="452FCC18">
      <w:pPr>
        <w:pStyle w:val="171"/>
        <w:ind w:left="0" w:hanging="10"/>
        <w:rPr>
          <w:color w:val="auto"/>
          <w:szCs w:val="21"/>
        </w:rPr>
      </w:pPr>
      <w:r>
        <w:rPr>
          <w:rFonts w:hint="eastAsia"/>
          <w:color w:val="auto"/>
          <w:szCs w:val="21"/>
        </w:rPr>
        <w:t>企业应充分考虑内部和外部文化特征，策划并建立全员共同认可的安全文化理念，组织开展安全文化建设并运行，培养良好的安全行为规范，营造优秀的安全文化氛围。</w:t>
      </w:r>
    </w:p>
    <w:p w14:paraId="13A4638F">
      <w:pPr>
        <w:pStyle w:val="171"/>
        <w:ind w:left="0" w:hanging="10"/>
        <w:rPr>
          <w:color w:val="auto"/>
          <w:szCs w:val="21"/>
        </w:rPr>
      </w:pPr>
      <w:r>
        <w:rPr>
          <w:rFonts w:hint="eastAsia"/>
          <w:color w:val="auto"/>
          <w:szCs w:val="21"/>
        </w:rPr>
        <w:t>企业应至少每年对安全文化运行效果进行评价，研究分析安全文化建设及运行过程中存在的问题，</w:t>
      </w:r>
      <w:r>
        <w:rPr>
          <w:rFonts w:hint="eastAsia"/>
          <w:color w:val="auto"/>
          <w:szCs w:val="21"/>
          <w:lang w:val="en-US" w:eastAsia="zh-CN"/>
        </w:rPr>
        <w:t>并</w:t>
      </w:r>
      <w:r>
        <w:rPr>
          <w:rFonts w:hint="eastAsia"/>
          <w:color w:val="auto"/>
          <w:szCs w:val="21"/>
        </w:rPr>
        <w:t>持续改进。</w:t>
      </w:r>
    </w:p>
    <w:p w14:paraId="4EA37FE7">
      <w:pPr>
        <w:pStyle w:val="79"/>
        <w:spacing w:before="160" w:after="160"/>
        <w:rPr>
          <w:color w:val="auto"/>
          <w:szCs w:val="21"/>
          <w:highlight w:val="none"/>
        </w:rPr>
      </w:pPr>
      <w:bookmarkStart w:id="279" w:name="_Toc13733"/>
      <w:bookmarkStart w:id="280" w:name="_Toc13492"/>
      <w:bookmarkStart w:id="281" w:name="_Toc18531"/>
      <w:bookmarkStart w:id="282" w:name="_Toc27200"/>
      <w:bookmarkStart w:id="283" w:name="_Toc18091"/>
      <w:bookmarkStart w:id="284" w:name="_Toc17879"/>
      <w:bookmarkStart w:id="285" w:name="_Toc22610"/>
      <w:bookmarkStart w:id="286" w:name="_Toc5817"/>
      <w:bookmarkStart w:id="287" w:name="_Toc23506"/>
      <w:bookmarkStart w:id="288" w:name="_Toc25776"/>
      <w:bookmarkStart w:id="289" w:name="_Toc7127"/>
      <w:bookmarkStart w:id="290" w:name="_Toc28013"/>
      <w:bookmarkStart w:id="291" w:name="_Toc10822"/>
      <w:r>
        <w:rPr>
          <w:rFonts w:hint="eastAsia"/>
          <w:color w:val="auto"/>
          <w:szCs w:val="21"/>
          <w:highlight w:val="none"/>
        </w:rPr>
        <w:t>有感领导</w:t>
      </w:r>
      <w:bookmarkEnd w:id="279"/>
      <w:bookmarkEnd w:id="280"/>
      <w:bookmarkEnd w:id="281"/>
      <w:bookmarkEnd w:id="282"/>
      <w:bookmarkEnd w:id="283"/>
      <w:bookmarkEnd w:id="284"/>
      <w:bookmarkEnd w:id="285"/>
      <w:bookmarkEnd w:id="286"/>
      <w:bookmarkEnd w:id="287"/>
      <w:bookmarkEnd w:id="288"/>
      <w:bookmarkEnd w:id="289"/>
      <w:bookmarkEnd w:id="290"/>
      <w:bookmarkEnd w:id="291"/>
    </w:p>
    <w:p w14:paraId="0D170298">
      <w:pPr>
        <w:pStyle w:val="171"/>
        <w:ind w:left="0" w:hanging="10"/>
        <w:rPr>
          <w:color w:val="auto"/>
          <w:szCs w:val="21"/>
        </w:rPr>
      </w:pPr>
      <w:r>
        <w:rPr>
          <w:rFonts w:hint="eastAsia"/>
          <w:color w:val="auto"/>
          <w:szCs w:val="21"/>
        </w:rPr>
        <w:t>企业各级领导应结合岗位</w:t>
      </w:r>
      <w:r>
        <w:rPr>
          <w:rFonts w:hint="default"/>
          <w:color w:val="auto"/>
          <w:szCs w:val="21"/>
        </w:rPr>
        <w:t>安全生产</w:t>
      </w:r>
      <w:r>
        <w:rPr>
          <w:rFonts w:hint="eastAsia"/>
          <w:color w:val="auto"/>
          <w:szCs w:val="21"/>
        </w:rPr>
        <w:t>责任制制定</w:t>
      </w:r>
      <w:r>
        <w:rPr>
          <w:rFonts w:hint="eastAsia"/>
          <w:color w:val="auto"/>
          <w:szCs w:val="21"/>
          <w:highlight w:val="none"/>
        </w:rPr>
        <w:t>个人安全行动计划</w:t>
      </w:r>
      <w:r>
        <w:rPr>
          <w:rFonts w:hint="eastAsia"/>
          <w:color w:val="auto"/>
          <w:szCs w:val="21"/>
        </w:rPr>
        <w:t>，通过领导带头、以上率下等方式实施有感领导。</w:t>
      </w:r>
    </w:p>
    <w:p w14:paraId="07EA5944">
      <w:pPr>
        <w:pStyle w:val="171"/>
        <w:ind w:left="0" w:hanging="10"/>
        <w:rPr>
          <w:color w:val="auto"/>
          <w:szCs w:val="21"/>
        </w:rPr>
      </w:pPr>
      <w:r>
        <w:rPr>
          <w:rFonts w:hint="eastAsia" w:hAnsi="宋体" w:cs="宋体"/>
          <w:color w:val="auto"/>
          <w:szCs w:val="21"/>
          <w:lang w:bidi="ar"/>
        </w:rPr>
        <w:t>企业应落实领导干</w:t>
      </w:r>
      <w:bookmarkStart w:id="292" w:name="OLE_LINK4"/>
      <w:r>
        <w:rPr>
          <w:rFonts w:hint="eastAsia" w:hAnsi="宋体" w:cs="宋体"/>
          <w:color w:val="auto"/>
          <w:szCs w:val="21"/>
          <w:lang w:bidi="ar"/>
        </w:rPr>
        <w:t>部带</w:t>
      </w:r>
      <w:bookmarkEnd w:id="292"/>
      <w:r>
        <w:rPr>
          <w:rFonts w:hint="eastAsia" w:hAnsi="宋体" w:cs="宋体"/>
          <w:color w:val="auto"/>
          <w:szCs w:val="21"/>
          <w:lang w:bidi="ar"/>
        </w:rPr>
        <w:t>班，组织处置带班期间突发事件，并对领导干部带班执行情况进行考核。</w:t>
      </w:r>
    </w:p>
    <w:p w14:paraId="07955374">
      <w:pPr>
        <w:pStyle w:val="171"/>
        <w:ind w:left="0" w:hanging="10"/>
        <w:rPr>
          <w:color w:val="auto"/>
          <w:szCs w:val="21"/>
        </w:rPr>
      </w:pPr>
      <w:r>
        <w:rPr>
          <w:rFonts w:hint="eastAsia"/>
          <w:color w:val="auto"/>
          <w:szCs w:val="21"/>
        </w:rPr>
        <w:t>企业各级领导</w:t>
      </w:r>
      <w:r>
        <w:rPr>
          <w:rFonts w:hint="default"/>
          <w:color w:val="auto"/>
          <w:szCs w:val="21"/>
        </w:rPr>
        <w:t>应</w:t>
      </w:r>
      <w:r>
        <w:rPr>
          <w:rFonts w:hint="eastAsia"/>
          <w:color w:val="auto"/>
          <w:szCs w:val="21"/>
        </w:rPr>
        <w:t>定期深入基层</w:t>
      </w:r>
      <w:r>
        <w:rPr>
          <w:rFonts w:hint="default"/>
          <w:color w:val="auto"/>
          <w:szCs w:val="21"/>
        </w:rPr>
        <w:t>，了解和掌握安全生产现状，研究与解决安全生产问题</w:t>
      </w:r>
      <w:r>
        <w:rPr>
          <w:rFonts w:hint="eastAsia"/>
          <w:color w:val="auto"/>
          <w:szCs w:val="21"/>
        </w:rPr>
        <w:t>，增强有感领导的执行力。</w:t>
      </w:r>
    </w:p>
    <w:p w14:paraId="63F11CC8">
      <w:pPr>
        <w:pStyle w:val="114"/>
        <w:spacing w:before="160" w:after="160"/>
        <w:rPr>
          <w:color w:val="auto"/>
          <w:szCs w:val="21"/>
        </w:rPr>
      </w:pPr>
      <w:bookmarkStart w:id="293" w:name="_Toc25115"/>
      <w:bookmarkStart w:id="294" w:name="_Toc32249"/>
      <w:bookmarkStart w:id="295" w:name="_Toc26504"/>
      <w:bookmarkStart w:id="296" w:name="_Toc1491"/>
      <w:bookmarkStart w:id="297" w:name="_Toc27750"/>
      <w:bookmarkStart w:id="298" w:name="_Toc16870"/>
      <w:bookmarkStart w:id="299" w:name="_Toc530"/>
      <w:bookmarkStart w:id="300" w:name="_Toc7590"/>
      <w:bookmarkStart w:id="301" w:name="_Toc11425"/>
      <w:bookmarkStart w:id="302" w:name="_Toc29655"/>
      <w:bookmarkStart w:id="303" w:name="_Toc26861"/>
      <w:bookmarkStart w:id="304" w:name="_Toc7072"/>
      <w:bookmarkStart w:id="305" w:name="_Toc18806"/>
      <w:bookmarkStart w:id="306" w:name="_Toc11409"/>
      <w:bookmarkStart w:id="307" w:name="_Toc10445"/>
      <w:bookmarkStart w:id="308" w:name="_Toc27735"/>
      <w:bookmarkStart w:id="309" w:name="_Toc13346"/>
      <w:bookmarkStart w:id="310" w:name="_Toc25171"/>
      <w:bookmarkStart w:id="311" w:name="_Toc25589"/>
      <w:bookmarkStart w:id="312" w:name="_Toc24966"/>
      <w:bookmarkStart w:id="313" w:name="_Toc8714"/>
      <w:bookmarkStart w:id="314" w:name="_Toc25787"/>
      <w:bookmarkStart w:id="315" w:name="_Toc19018"/>
      <w:bookmarkStart w:id="316" w:name="_Toc8019"/>
      <w:r>
        <w:rPr>
          <w:rFonts w:hint="eastAsia"/>
          <w:color w:val="auto"/>
          <w:szCs w:val="21"/>
        </w:rPr>
        <w:t>安全生产责任制</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0D72AFE2">
      <w:pPr>
        <w:pStyle w:val="79"/>
        <w:spacing w:before="160" w:after="160"/>
        <w:rPr>
          <w:color w:val="auto"/>
          <w:szCs w:val="21"/>
        </w:rPr>
      </w:pPr>
      <w:bookmarkStart w:id="317" w:name="_Toc23703"/>
      <w:bookmarkStart w:id="318" w:name="_Toc7128"/>
      <w:bookmarkStart w:id="319" w:name="_Toc3642"/>
      <w:bookmarkStart w:id="320" w:name="_Toc31188"/>
      <w:bookmarkStart w:id="321" w:name="_Toc6028"/>
      <w:bookmarkStart w:id="322" w:name="_Toc26248"/>
      <w:bookmarkStart w:id="323" w:name="_Toc1317"/>
      <w:bookmarkStart w:id="324" w:name="_Toc7356"/>
      <w:bookmarkStart w:id="325" w:name="_Toc18813"/>
      <w:bookmarkStart w:id="326" w:name="_Toc17000"/>
      <w:bookmarkStart w:id="327" w:name="_Toc11712"/>
      <w:bookmarkStart w:id="328" w:name="_Toc4324"/>
      <w:bookmarkStart w:id="329" w:name="_Toc14712"/>
      <w:bookmarkStart w:id="330" w:name="_Toc28217"/>
      <w:bookmarkStart w:id="331" w:name="_Toc28321"/>
      <w:bookmarkStart w:id="332" w:name="_Toc5120"/>
      <w:bookmarkStart w:id="333" w:name="_Toc29578"/>
      <w:bookmarkStart w:id="334" w:name="_Toc103"/>
      <w:bookmarkStart w:id="335" w:name="_Toc16242"/>
      <w:bookmarkStart w:id="336" w:name="_Toc14087"/>
      <w:bookmarkStart w:id="337" w:name="_Toc5537"/>
      <w:bookmarkStart w:id="338" w:name="_Toc3632"/>
      <w:r>
        <w:rPr>
          <w:rFonts w:hint="eastAsia"/>
          <w:color w:val="auto"/>
          <w:szCs w:val="21"/>
        </w:rPr>
        <w:t>全员安全生产责任制</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1BAE8360">
      <w:pPr>
        <w:pStyle w:val="171"/>
        <w:ind w:left="0" w:hanging="10"/>
        <w:rPr>
          <w:color w:val="auto"/>
          <w:szCs w:val="21"/>
        </w:rPr>
      </w:pPr>
      <w:r>
        <w:rPr>
          <w:rFonts w:hint="eastAsia"/>
          <w:color w:val="auto"/>
          <w:szCs w:val="21"/>
        </w:rPr>
        <w:t>企业应根据国家法律法规、标准和自身实际情况，明确</w:t>
      </w:r>
      <w:r>
        <w:rPr>
          <w:rFonts w:hint="eastAsia"/>
          <w:color w:val="auto"/>
          <w:szCs w:val="21"/>
          <w:highlight w:val="none"/>
        </w:rPr>
        <w:t>各管理部门及基层单位</w:t>
      </w:r>
      <w:r>
        <w:rPr>
          <w:rFonts w:hint="eastAsia"/>
          <w:color w:val="auto"/>
          <w:szCs w:val="21"/>
        </w:rPr>
        <w:t>的安全职责。</w:t>
      </w:r>
    </w:p>
    <w:p w14:paraId="767FD231">
      <w:pPr>
        <w:pStyle w:val="171"/>
        <w:ind w:left="0" w:hanging="10"/>
        <w:rPr>
          <w:color w:val="auto"/>
          <w:szCs w:val="21"/>
        </w:rPr>
      </w:pPr>
      <w:r>
        <w:rPr>
          <w:rFonts w:hint="eastAsia"/>
          <w:color w:val="auto"/>
          <w:szCs w:val="21"/>
        </w:rPr>
        <w:t>企业应建立全员安全生产责任制</w:t>
      </w:r>
      <w:r>
        <w:rPr>
          <w:rFonts w:hint="eastAsia"/>
          <w:color w:val="auto"/>
          <w:szCs w:val="21"/>
          <w:lang w:eastAsia="zh-CN"/>
        </w:rPr>
        <w:t>，</w:t>
      </w:r>
      <w:r>
        <w:rPr>
          <w:rFonts w:hint="eastAsia"/>
          <w:color w:val="auto"/>
          <w:szCs w:val="21"/>
        </w:rPr>
        <w:t>根据岗位的性质、特点和具体工作内容，明确</w:t>
      </w:r>
      <w:r>
        <w:rPr>
          <w:rFonts w:hint="eastAsia"/>
          <w:color w:val="auto"/>
          <w:szCs w:val="21"/>
          <w:highlight w:val="none"/>
        </w:rPr>
        <w:t>各岗位</w:t>
      </w:r>
      <w:r>
        <w:rPr>
          <w:rFonts w:hint="eastAsia"/>
          <w:color w:val="auto"/>
          <w:szCs w:val="21"/>
        </w:rPr>
        <w:t>安全职责，做到“一岗一责”。</w:t>
      </w:r>
    </w:p>
    <w:p w14:paraId="09193AEE">
      <w:pPr>
        <w:pStyle w:val="79"/>
        <w:spacing w:before="160" w:after="160"/>
        <w:rPr>
          <w:color w:val="auto"/>
          <w:szCs w:val="21"/>
        </w:rPr>
      </w:pPr>
      <w:bookmarkStart w:id="339" w:name="_Toc12484"/>
      <w:bookmarkStart w:id="340" w:name="_Toc18695"/>
      <w:bookmarkStart w:id="341" w:name="_Toc16550"/>
      <w:bookmarkStart w:id="342" w:name="_Toc28682"/>
      <w:bookmarkStart w:id="343" w:name="_Toc3442"/>
      <w:bookmarkStart w:id="344" w:name="_Toc24930"/>
      <w:bookmarkStart w:id="345" w:name="_Toc1414"/>
      <w:bookmarkStart w:id="346" w:name="_Toc6186"/>
      <w:bookmarkStart w:id="347" w:name="_Toc28349"/>
      <w:bookmarkStart w:id="348" w:name="_Toc11891"/>
      <w:bookmarkStart w:id="349" w:name="_Toc17016"/>
      <w:bookmarkStart w:id="350" w:name="_Toc62826415"/>
      <w:bookmarkStart w:id="351" w:name="_Toc10761"/>
      <w:bookmarkStart w:id="352" w:name="_Toc10294"/>
      <w:bookmarkStart w:id="353" w:name="_Toc17435"/>
      <w:bookmarkStart w:id="354" w:name="_Toc28517"/>
      <w:bookmarkStart w:id="355" w:name="_Toc17618"/>
      <w:bookmarkStart w:id="356" w:name="_Toc26304"/>
      <w:bookmarkStart w:id="357" w:name="_Toc31032"/>
      <w:bookmarkStart w:id="358" w:name="_Toc1080"/>
      <w:bookmarkStart w:id="359" w:name="_Toc27310"/>
      <w:bookmarkStart w:id="360" w:name="_Toc9043"/>
      <w:bookmarkStart w:id="361" w:name="_Toc23086"/>
      <w:bookmarkStart w:id="362" w:name="_Toc62828517"/>
      <w:bookmarkStart w:id="363" w:name="_Toc12813"/>
      <w:bookmarkStart w:id="364" w:name="_Toc30983"/>
      <w:r>
        <w:rPr>
          <w:rFonts w:hint="eastAsia"/>
          <w:color w:val="auto"/>
          <w:szCs w:val="21"/>
        </w:rPr>
        <w:t>审批与</w:t>
      </w:r>
      <w:r>
        <w:rPr>
          <w:rFonts w:hint="eastAsia"/>
          <w:color w:val="auto"/>
          <w:szCs w:val="21"/>
          <w:highlight w:val="none"/>
        </w:rPr>
        <w:t>实施</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57BFBA00">
      <w:pPr>
        <w:pStyle w:val="171"/>
        <w:ind w:left="0" w:hanging="10"/>
        <w:rPr>
          <w:color w:val="auto"/>
          <w:szCs w:val="21"/>
        </w:rPr>
      </w:pPr>
      <w:r>
        <w:rPr>
          <w:rFonts w:hint="eastAsia"/>
          <w:color w:val="auto"/>
          <w:szCs w:val="21"/>
        </w:rPr>
        <w:t>企业全员安全生产责任制应经</w:t>
      </w:r>
      <w:r>
        <w:rPr>
          <w:rFonts w:hint="eastAsia"/>
          <w:color w:val="auto"/>
          <w:szCs w:val="21"/>
          <w:highlight w:val="none"/>
        </w:rPr>
        <w:t>主要负责人审</w:t>
      </w:r>
      <w:r>
        <w:rPr>
          <w:rFonts w:hint="eastAsia"/>
          <w:color w:val="auto"/>
          <w:szCs w:val="21"/>
        </w:rPr>
        <w:t>批，</w:t>
      </w:r>
      <w:r>
        <w:rPr>
          <w:rFonts w:hint="default"/>
          <w:color w:val="auto"/>
          <w:szCs w:val="21"/>
        </w:rPr>
        <w:t>并</w:t>
      </w:r>
      <w:r>
        <w:rPr>
          <w:rFonts w:hint="eastAsia" w:hAnsi="宋体" w:cs="宋体"/>
          <w:color w:val="auto"/>
          <w:sz w:val="21"/>
          <w:szCs w:val="21"/>
          <w:lang w:bidi="ar"/>
        </w:rPr>
        <w:t>发布实施。</w:t>
      </w:r>
    </w:p>
    <w:p w14:paraId="10AB01EF">
      <w:pPr>
        <w:pStyle w:val="171"/>
        <w:ind w:left="0" w:hanging="10"/>
        <w:rPr>
          <w:color w:val="auto"/>
          <w:szCs w:val="21"/>
          <w:highlight w:val="none"/>
        </w:rPr>
      </w:pPr>
      <w:r>
        <w:rPr>
          <w:rFonts w:hint="eastAsia" w:hAnsi="宋体" w:cs="宋体"/>
          <w:color w:val="auto"/>
          <w:sz w:val="21"/>
          <w:szCs w:val="21"/>
          <w:highlight w:val="none"/>
          <w:lang w:bidi="ar"/>
        </w:rPr>
        <w:t>企业应</w:t>
      </w:r>
      <w:r>
        <w:rPr>
          <w:rFonts w:hint="eastAsia"/>
          <w:color w:val="auto"/>
          <w:szCs w:val="21"/>
          <w:highlight w:val="none"/>
        </w:rPr>
        <w:t>组织开展全员安全生产责任制培训，确保每位员工掌握所在岗位的安全职责。</w:t>
      </w:r>
    </w:p>
    <w:p w14:paraId="23E50A1E">
      <w:pPr>
        <w:pStyle w:val="79"/>
        <w:spacing w:before="160" w:after="160"/>
        <w:rPr>
          <w:color w:val="auto"/>
          <w:szCs w:val="21"/>
          <w:highlight w:val="none"/>
        </w:rPr>
      </w:pPr>
      <w:bookmarkStart w:id="365" w:name="_Toc9532"/>
      <w:bookmarkStart w:id="366" w:name="_Toc22368"/>
      <w:bookmarkStart w:id="367" w:name="_Toc32181"/>
      <w:bookmarkStart w:id="368" w:name="_Toc14569"/>
      <w:r>
        <w:rPr>
          <w:rFonts w:hint="eastAsia"/>
          <w:color w:val="auto"/>
          <w:szCs w:val="21"/>
          <w:highlight w:val="none"/>
        </w:rPr>
        <w:t>检查与</w:t>
      </w:r>
      <w:r>
        <w:rPr>
          <w:rFonts w:hint="default"/>
          <w:color w:val="auto"/>
          <w:szCs w:val="21"/>
          <w:highlight w:val="none"/>
        </w:rPr>
        <w:t>考核</w:t>
      </w:r>
      <w:bookmarkEnd w:id="365"/>
      <w:bookmarkEnd w:id="366"/>
      <w:bookmarkEnd w:id="367"/>
      <w:bookmarkEnd w:id="368"/>
    </w:p>
    <w:p w14:paraId="74BA2198">
      <w:pPr>
        <w:pStyle w:val="171"/>
        <w:ind w:left="0" w:hanging="10"/>
        <w:rPr>
          <w:rFonts w:hint="eastAsia"/>
          <w:color w:val="auto"/>
          <w:szCs w:val="21"/>
        </w:rPr>
      </w:pPr>
      <w:r>
        <w:rPr>
          <w:rFonts w:hint="eastAsia"/>
          <w:color w:val="auto"/>
          <w:szCs w:val="21"/>
        </w:rPr>
        <w:t>企业应至少每年对安全生产责任制的适用性、有效性及履行情况进行检查评估，建立检查评估记录。</w:t>
      </w:r>
    </w:p>
    <w:p w14:paraId="4BA6E3BF">
      <w:pPr>
        <w:pStyle w:val="171"/>
        <w:ind w:left="0" w:hanging="10"/>
        <w:rPr>
          <w:rFonts w:hint="eastAsia"/>
          <w:color w:val="auto"/>
          <w:szCs w:val="21"/>
        </w:rPr>
      </w:pPr>
      <w:r>
        <w:rPr>
          <w:rFonts w:hint="eastAsia"/>
          <w:color w:val="auto"/>
          <w:szCs w:val="21"/>
        </w:rPr>
        <w:t>企业应建立完善安全生产责任制监督考核与奖惩机制，明确安全生产管理机构和人事、财务等相关职能部门的监督职责。</w:t>
      </w:r>
    </w:p>
    <w:p w14:paraId="0ED0373E">
      <w:pPr>
        <w:pStyle w:val="171"/>
        <w:ind w:left="0" w:hanging="10"/>
        <w:rPr>
          <w:rFonts w:hint="eastAsia"/>
          <w:color w:val="auto"/>
          <w:szCs w:val="21"/>
        </w:rPr>
      </w:pPr>
      <w:r>
        <w:rPr>
          <w:rFonts w:hint="eastAsia"/>
          <w:color w:val="auto"/>
          <w:szCs w:val="21"/>
        </w:rPr>
        <w:t>企业应每年对安全生产责任制的履行情况进行考核，兑现</w:t>
      </w:r>
      <w:r>
        <w:rPr>
          <w:rFonts w:hint="default"/>
          <w:color w:val="auto"/>
          <w:szCs w:val="21"/>
        </w:rPr>
        <w:t>奖惩。</w:t>
      </w:r>
    </w:p>
    <w:p w14:paraId="0CD6E28C">
      <w:pPr>
        <w:pStyle w:val="79"/>
        <w:spacing w:before="160" w:after="160"/>
        <w:rPr>
          <w:color w:val="auto"/>
          <w:szCs w:val="21"/>
          <w:highlight w:val="none"/>
        </w:rPr>
      </w:pPr>
      <w:bookmarkStart w:id="369" w:name="_Toc18575"/>
      <w:bookmarkStart w:id="370" w:name="_Toc16260"/>
      <w:bookmarkStart w:id="371" w:name="_Toc21498"/>
      <w:bookmarkStart w:id="372" w:name="_Toc7675"/>
      <w:bookmarkStart w:id="373" w:name="_Toc5442"/>
      <w:bookmarkStart w:id="374" w:name="_Toc11326"/>
      <w:bookmarkStart w:id="375" w:name="_Toc31453"/>
      <w:bookmarkStart w:id="376" w:name="_Toc24452"/>
      <w:bookmarkStart w:id="377" w:name="_Toc12975"/>
      <w:bookmarkStart w:id="378" w:name="_Toc16679"/>
      <w:bookmarkStart w:id="379" w:name="_Toc15193"/>
      <w:bookmarkStart w:id="380" w:name="_Toc15970"/>
      <w:bookmarkStart w:id="381" w:name="_Toc7029"/>
      <w:bookmarkStart w:id="382" w:name="_Toc32717"/>
      <w:bookmarkStart w:id="383" w:name="_Toc26783"/>
      <w:bookmarkStart w:id="384" w:name="_Toc27582"/>
      <w:bookmarkStart w:id="385" w:name="_Toc5364"/>
      <w:bookmarkStart w:id="386" w:name="_Toc23538"/>
      <w:bookmarkStart w:id="387" w:name="_Toc30931"/>
      <w:bookmarkStart w:id="388" w:name="_Toc10689"/>
      <w:bookmarkStart w:id="389" w:name="_Toc11118"/>
      <w:bookmarkStart w:id="390" w:name="_Toc76372527"/>
      <w:bookmarkStart w:id="391" w:name="_Toc38794308"/>
      <w:bookmarkStart w:id="392" w:name="_Toc76371367"/>
      <w:bookmarkStart w:id="393" w:name="_Toc38645211"/>
      <w:bookmarkStart w:id="394" w:name="_Toc37316454"/>
      <w:r>
        <w:rPr>
          <w:rFonts w:hint="eastAsia"/>
          <w:color w:val="auto"/>
          <w:szCs w:val="21"/>
          <w:highlight w:val="none"/>
          <w:lang w:val="en-US" w:eastAsia="zh-CN"/>
        </w:rPr>
        <w:t>持续完善</w:t>
      </w:r>
      <w:bookmarkEnd w:id="369"/>
    </w:p>
    <w:p w14:paraId="6128410C">
      <w:pPr>
        <w:pStyle w:val="171"/>
        <w:ind w:left="0" w:hanging="10"/>
        <w:rPr>
          <w:color w:val="auto"/>
          <w:szCs w:val="21"/>
        </w:rPr>
      </w:pPr>
      <w:r>
        <w:rPr>
          <w:rFonts w:hint="default"/>
          <w:color w:val="auto"/>
          <w:szCs w:val="21"/>
        </w:rPr>
        <w:t>企业应</w:t>
      </w:r>
      <w:r>
        <w:rPr>
          <w:rFonts w:hint="eastAsia"/>
          <w:color w:val="auto"/>
          <w:szCs w:val="21"/>
        </w:rPr>
        <w:t>根据</w:t>
      </w:r>
      <w:r>
        <w:rPr>
          <w:rFonts w:hint="default"/>
          <w:color w:val="auto"/>
          <w:szCs w:val="21"/>
        </w:rPr>
        <w:t>检查</w:t>
      </w:r>
      <w:r>
        <w:rPr>
          <w:rFonts w:hint="eastAsia"/>
          <w:color w:val="auto"/>
          <w:szCs w:val="21"/>
        </w:rPr>
        <w:t>结果和员工反馈，持续改进安全生产责任制，确保适应企业发展的需要。</w:t>
      </w:r>
    </w:p>
    <w:p w14:paraId="57925C57">
      <w:pPr>
        <w:pStyle w:val="171"/>
        <w:ind w:left="0" w:hanging="10"/>
        <w:rPr>
          <w:color w:val="auto"/>
          <w:szCs w:val="21"/>
        </w:rPr>
      </w:pPr>
      <w:r>
        <w:rPr>
          <w:rFonts w:hint="eastAsia"/>
          <w:color w:val="auto"/>
          <w:szCs w:val="21"/>
        </w:rPr>
        <w:t>企业应按照规定修订安全生产责任制，有下列情形之一的，应及时</w:t>
      </w:r>
      <w:r>
        <w:rPr>
          <w:rFonts w:hint="eastAsia"/>
          <w:color w:val="auto"/>
          <w:szCs w:val="21"/>
          <w:highlight w:val="none"/>
        </w:rPr>
        <w:t>修订</w:t>
      </w:r>
      <w:r>
        <w:rPr>
          <w:rFonts w:hint="default"/>
          <w:color w:val="auto"/>
          <w:szCs w:val="21"/>
          <w:highlight w:val="none"/>
        </w:rPr>
        <w:t>完善</w:t>
      </w:r>
      <w:r>
        <w:rPr>
          <w:rFonts w:hint="eastAsia"/>
          <w:color w:val="auto"/>
          <w:szCs w:val="21"/>
        </w:rPr>
        <w:t>：</w:t>
      </w:r>
    </w:p>
    <w:p w14:paraId="68FB747A">
      <w:pPr>
        <w:pStyle w:val="181"/>
        <w:numPr>
          <w:ilvl w:val="0"/>
          <w:numId w:val="34"/>
        </w:numPr>
        <w:tabs>
          <w:tab w:val="left" w:pos="840"/>
          <w:tab w:val="clear" w:pos="851"/>
        </w:tabs>
        <w:rPr>
          <w:rFonts w:hint="eastAsia"/>
          <w:color w:val="auto"/>
          <w:szCs w:val="21"/>
        </w:rPr>
      </w:pPr>
      <w:r>
        <w:rPr>
          <w:rFonts w:hint="eastAsia"/>
          <w:color w:val="auto"/>
          <w:szCs w:val="21"/>
        </w:rPr>
        <w:t>依据的法律法规、规章、标准中的有关规定发生重大变化的；</w:t>
      </w:r>
    </w:p>
    <w:p w14:paraId="28762168">
      <w:pPr>
        <w:pStyle w:val="181"/>
        <w:numPr>
          <w:ilvl w:val="0"/>
          <w:numId w:val="34"/>
        </w:numPr>
        <w:tabs>
          <w:tab w:val="left" w:pos="840"/>
          <w:tab w:val="clear" w:pos="851"/>
        </w:tabs>
        <w:rPr>
          <w:rFonts w:hint="eastAsia"/>
          <w:color w:val="auto"/>
          <w:szCs w:val="21"/>
        </w:rPr>
      </w:pPr>
      <w:r>
        <w:rPr>
          <w:rFonts w:hint="eastAsia"/>
          <w:color w:val="auto"/>
          <w:szCs w:val="21"/>
        </w:rPr>
        <w:t>组织机构及其职责进行调整的；</w:t>
      </w:r>
    </w:p>
    <w:p w14:paraId="2365BC99">
      <w:pPr>
        <w:pStyle w:val="181"/>
        <w:numPr>
          <w:ilvl w:val="0"/>
          <w:numId w:val="34"/>
        </w:numPr>
        <w:tabs>
          <w:tab w:val="left" w:pos="840"/>
        </w:tabs>
        <w:rPr>
          <w:color w:val="auto"/>
          <w:szCs w:val="21"/>
        </w:rPr>
      </w:pPr>
      <w:r>
        <w:rPr>
          <w:rFonts w:hint="eastAsia"/>
          <w:color w:val="auto"/>
          <w:szCs w:val="21"/>
        </w:rPr>
        <w:t>企业生产经营活动发生重大变化的；</w:t>
      </w:r>
    </w:p>
    <w:p w14:paraId="36EDB379">
      <w:pPr>
        <w:pStyle w:val="181"/>
        <w:numPr>
          <w:ilvl w:val="0"/>
          <w:numId w:val="34"/>
        </w:numPr>
        <w:tabs>
          <w:tab w:val="left" w:pos="840"/>
        </w:tabs>
        <w:rPr>
          <w:color w:val="auto"/>
          <w:szCs w:val="21"/>
        </w:rPr>
      </w:pPr>
      <w:r>
        <w:rPr>
          <w:rFonts w:hint="eastAsia"/>
          <w:color w:val="auto"/>
          <w:szCs w:val="21"/>
        </w:rPr>
        <w:t>企业发生安全事故事件后，在安全责任方面暴露出问题的</w:t>
      </w:r>
      <w:r>
        <w:rPr>
          <w:rFonts w:hint="eastAsia"/>
          <w:color w:val="auto"/>
          <w:szCs w:val="21"/>
          <w:lang w:eastAsia="zh-CN"/>
        </w:rPr>
        <w:t>。</w:t>
      </w:r>
    </w:p>
    <w:p w14:paraId="7D4B5D98">
      <w:pPr>
        <w:pStyle w:val="114"/>
        <w:spacing w:before="160" w:after="160"/>
        <w:rPr>
          <w:color w:val="auto"/>
          <w:szCs w:val="21"/>
        </w:rPr>
      </w:pPr>
      <w:bookmarkStart w:id="395" w:name="_Toc26672"/>
      <w:bookmarkStart w:id="396" w:name="_Toc12621"/>
      <w:bookmarkStart w:id="397" w:name="_Toc14387"/>
      <w:bookmarkStart w:id="398" w:name="_Toc28303"/>
      <w:r>
        <w:rPr>
          <w:rFonts w:hint="eastAsia"/>
          <w:color w:val="auto"/>
          <w:szCs w:val="21"/>
        </w:rPr>
        <w:t>安全生产信息与合规管理</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5"/>
      <w:bookmarkEnd w:id="396"/>
      <w:bookmarkEnd w:id="397"/>
      <w:bookmarkEnd w:id="398"/>
    </w:p>
    <w:p w14:paraId="287D650C">
      <w:pPr>
        <w:pStyle w:val="79"/>
        <w:spacing w:before="160" w:after="160"/>
        <w:rPr>
          <w:color w:val="auto"/>
          <w:szCs w:val="21"/>
        </w:rPr>
      </w:pPr>
      <w:bookmarkStart w:id="399" w:name="_Toc11503"/>
      <w:bookmarkStart w:id="400" w:name="_Toc27655"/>
      <w:bookmarkStart w:id="401" w:name="_Toc10857"/>
      <w:bookmarkStart w:id="402" w:name="_Toc30741"/>
      <w:bookmarkStart w:id="403" w:name="_Toc13641"/>
      <w:bookmarkStart w:id="404" w:name="_Toc24464"/>
      <w:bookmarkStart w:id="405" w:name="_Toc26333"/>
      <w:bookmarkStart w:id="406" w:name="_Toc21746"/>
      <w:bookmarkStart w:id="407" w:name="_Toc31039"/>
      <w:bookmarkStart w:id="408" w:name="_Toc15384"/>
      <w:bookmarkStart w:id="409" w:name="_Toc7263"/>
      <w:bookmarkStart w:id="410" w:name="_Toc25983"/>
      <w:bookmarkStart w:id="411" w:name="_Toc30042"/>
      <w:bookmarkStart w:id="412" w:name="_Toc25325"/>
      <w:bookmarkStart w:id="413" w:name="_Toc25224"/>
      <w:bookmarkStart w:id="414" w:name="_Toc27226"/>
      <w:bookmarkStart w:id="415" w:name="_Toc21586"/>
      <w:bookmarkStart w:id="416" w:name="_Toc26480"/>
      <w:bookmarkStart w:id="417" w:name="_Toc24718"/>
      <w:bookmarkStart w:id="418" w:name="_Toc22345"/>
      <w:bookmarkStart w:id="419" w:name="_Toc10284"/>
      <w:bookmarkStart w:id="420" w:name="_Toc5782"/>
      <w:bookmarkStart w:id="421" w:name="_Toc3762"/>
      <w:r>
        <w:rPr>
          <w:rFonts w:hint="eastAsia"/>
          <w:color w:val="auto"/>
          <w:szCs w:val="21"/>
        </w:rPr>
        <w:t>安全生产信息分类</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4FCD09FB">
      <w:pPr>
        <w:pStyle w:val="171"/>
        <w:ind w:left="0" w:hanging="10"/>
        <w:rPr>
          <w:color w:val="auto"/>
          <w:szCs w:val="21"/>
        </w:rPr>
      </w:pPr>
      <w:r>
        <w:rPr>
          <w:rFonts w:hint="eastAsia"/>
          <w:color w:val="auto"/>
          <w:szCs w:val="21"/>
        </w:rPr>
        <w:t>企业应规定安全生产信息获取频次、途径、管理职责、应用要求等，对安全生产信息实行分类管理。</w:t>
      </w:r>
    </w:p>
    <w:p w14:paraId="2938BDE2">
      <w:pPr>
        <w:pStyle w:val="171"/>
        <w:ind w:left="0" w:hanging="10"/>
        <w:rPr>
          <w:color w:val="auto"/>
          <w:szCs w:val="21"/>
        </w:rPr>
      </w:pPr>
      <w:r>
        <w:rPr>
          <w:rFonts w:hint="eastAsia"/>
          <w:color w:val="auto"/>
          <w:szCs w:val="21"/>
        </w:rPr>
        <w:t>企业安全生产信息可分为化学品危险性信息、工艺危险性信息、工艺技术信息、设备设施信息和其他信息。</w:t>
      </w:r>
    </w:p>
    <w:p w14:paraId="27A9D968">
      <w:pPr>
        <w:pStyle w:val="79"/>
        <w:spacing w:before="160" w:after="160"/>
        <w:rPr>
          <w:color w:val="auto"/>
          <w:szCs w:val="21"/>
        </w:rPr>
      </w:pPr>
      <w:bookmarkStart w:id="422" w:name="_Toc4856"/>
      <w:bookmarkStart w:id="423" w:name="_Toc4620"/>
      <w:bookmarkStart w:id="424" w:name="_Toc6691"/>
      <w:bookmarkStart w:id="425" w:name="_Toc14561"/>
      <w:bookmarkStart w:id="426" w:name="_Toc17429"/>
      <w:bookmarkStart w:id="427" w:name="_Toc13766"/>
      <w:bookmarkStart w:id="428" w:name="_Toc6037"/>
      <w:bookmarkStart w:id="429" w:name="_Toc29897"/>
      <w:bookmarkStart w:id="430" w:name="_Toc6905"/>
      <w:bookmarkStart w:id="431" w:name="_Toc16427"/>
      <w:bookmarkStart w:id="432" w:name="_Toc21781"/>
      <w:bookmarkStart w:id="433" w:name="_Toc13197"/>
      <w:bookmarkStart w:id="434" w:name="_Toc10202"/>
      <w:bookmarkStart w:id="435" w:name="_Toc6285"/>
      <w:bookmarkStart w:id="436" w:name="_Toc2757"/>
      <w:bookmarkStart w:id="437" w:name="_Toc22961"/>
      <w:bookmarkStart w:id="438" w:name="_Toc20138"/>
      <w:bookmarkStart w:id="439" w:name="_Toc7999"/>
      <w:bookmarkStart w:id="440" w:name="_Toc11464"/>
      <w:bookmarkStart w:id="441" w:name="_Toc18653"/>
      <w:bookmarkStart w:id="442" w:name="_Toc24398"/>
      <w:bookmarkStart w:id="443" w:name="_Toc18354"/>
      <w:bookmarkStart w:id="444" w:name="_Toc22307"/>
      <w:r>
        <w:rPr>
          <w:rFonts w:hint="eastAsia"/>
          <w:color w:val="auto"/>
          <w:szCs w:val="21"/>
        </w:rPr>
        <w:t>安全生产信息识别、收集</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1BB07E10">
      <w:pPr>
        <w:pStyle w:val="171"/>
        <w:ind w:left="0" w:hanging="10"/>
        <w:rPr>
          <w:color w:val="auto"/>
          <w:szCs w:val="21"/>
        </w:rPr>
      </w:pPr>
      <w:r>
        <w:rPr>
          <w:rFonts w:hint="eastAsia"/>
          <w:color w:val="auto"/>
          <w:szCs w:val="21"/>
        </w:rPr>
        <w:t>企业应按照规定的频次和分类要求收集、分析各类安全生产信息，对安全生产过程中各类信息进行识别、使用、更新、归档等管理。</w:t>
      </w:r>
    </w:p>
    <w:p w14:paraId="3B94285D">
      <w:pPr>
        <w:pStyle w:val="171"/>
        <w:ind w:left="0" w:hanging="10"/>
        <w:rPr>
          <w:color w:val="auto"/>
          <w:szCs w:val="21"/>
        </w:rPr>
      </w:pPr>
      <w:r>
        <w:rPr>
          <w:rFonts w:hint="eastAsia"/>
          <w:color w:val="auto"/>
          <w:szCs w:val="21"/>
        </w:rPr>
        <w:t>企业应根据收集的化学品危险性等信息，</w:t>
      </w:r>
      <w:r>
        <w:rPr>
          <w:rFonts w:hint="eastAsia"/>
          <w:color w:val="auto"/>
          <w:szCs w:val="21"/>
          <w:highlight w:val="none"/>
        </w:rPr>
        <w:t>编制化学品</w:t>
      </w:r>
      <w:r>
        <w:rPr>
          <w:rFonts w:hint="default"/>
          <w:color w:val="auto"/>
          <w:szCs w:val="21"/>
          <w:lang w:val="en-US" w:eastAsia="zh-CN"/>
        </w:rPr>
        <w:t>反应</w:t>
      </w:r>
      <w:r>
        <w:rPr>
          <w:rFonts w:hint="default"/>
          <w:color w:val="auto"/>
          <w:szCs w:val="21"/>
          <w:lang w:val="en-US"/>
        </w:rPr>
        <w:t>矩阵表</w:t>
      </w:r>
      <w:r>
        <w:rPr>
          <w:rFonts w:hint="default"/>
          <w:color w:val="auto"/>
          <w:szCs w:val="21"/>
          <w:lang w:val="en-US" w:eastAsia="zh-CN"/>
        </w:rPr>
        <w:t>、</w:t>
      </w:r>
      <w:r>
        <w:rPr>
          <w:rFonts w:hint="default" w:ascii="宋体" w:hAnsi="Times New Roman" w:cs="Times New Roman"/>
          <w:color w:val="auto"/>
          <w:kern w:val="0"/>
          <w:sz w:val="21"/>
          <w:szCs w:val="21"/>
          <w:lang w:val="en-US" w:bidi="ar"/>
        </w:rPr>
        <w:t>化学品与</w:t>
      </w:r>
      <w:r>
        <w:rPr>
          <w:rFonts w:hint="default"/>
          <w:color w:val="auto"/>
          <w:szCs w:val="21"/>
          <w:lang w:val="en-US" w:eastAsia="zh-CN"/>
        </w:rPr>
        <w:t>材质相容性矩阵表</w:t>
      </w:r>
      <w:r>
        <w:rPr>
          <w:rFonts w:hint="eastAsia"/>
          <w:color w:val="auto"/>
          <w:szCs w:val="21"/>
        </w:rPr>
        <w:t>。</w:t>
      </w:r>
    </w:p>
    <w:p w14:paraId="62DC2154">
      <w:pPr>
        <w:pStyle w:val="171"/>
        <w:ind w:left="0" w:hanging="10"/>
        <w:rPr>
          <w:color w:val="auto"/>
          <w:szCs w:val="21"/>
        </w:rPr>
      </w:pPr>
      <w:r>
        <w:rPr>
          <w:rFonts w:hint="eastAsia"/>
          <w:color w:val="auto"/>
          <w:szCs w:val="21"/>
        </w:rPr>
        <w:t>企业应及时更新各类安全生产信息，完善</w:t>
      </w:r>
      <w:r>
        <w:rPr>
          <w:rFonts w:hint="eastAsia"/>
          <w:color w:val="auto"/>
          <w:szCs w:val="21"/>
          <w:lang w:val="en-US" w:eastAsia="zh-CN"/>
        </w:rPr>
        <w:t>安全生产信息</w:t>
      </w:r>
      <w:r>
        <w:rPr>
          <w:rFonts w:hint="eastAsia"/>
          <w:color w:val="auto"/>
          <w:szCs w:val="21"/>
        </w:rPr>
        <w:t>清单，确保安全生产信息准确。</w:t>
      </w:r>
    </w:p>
    <w:p w14:paraId="04864D8D">
      <w:pPr>
        <w:pStyle w:val="79"/>
        <w:spacing w:before="160" w:after="160"/>
        <w:rPr>
          <w:color w:val="auto"/>
          <w:szCs w:val="21"/>
        </w:rPr>
      </w:pPr>
      <w:bookmarkStart w:id="445" w:name="_Toc20213"/>
      <w:bookmarkStart w:id="446" w:name="_Toc22752"/>
      <w:bookmarkStart w:id="447" w:name="_Toc12754"/>
      <w:bookmarkStart w:id="448" w:name="_Toc18148"/>
      <w:bookmarkStart w:id="449" w:name="_Toc17207"/>
      <w:bookmarkStart w:id="450" w:name="_Toc5384"/>
      <w:bookmarkStart w:id="451" w:name="_Toc31010"/>
      <w:bookmarkStart w:id="452" w:name="_Toc3339"/>
      <w:bookmarkStart w:id="453" w:name="_Toc20382"/>
      <w:bookmarkStart w:id="454" w:name="_Toc21475"/>
      <w:bookmarkStart w:id="455" w:name="_Toc20910"/>
      <w:bookmarkStart w:id="456" w:name="_Toc7066"/>
      <w:bookmarkStart w:id="457" w:name="_Toc19058"/>
      <w:bookmarkStart w:id="458" w:name="_Toc27192"/>
      <w:bookmarkStart w:id="459" w:name="_Toc2284"/>
      <w:bookmarkStart w:id="460" w:name="_Toc195"/>
      <w:bookmarkStart w:id="461" w:name="_Toc11816"/>
      <w:bookmarkStart w:id="462" w:name="_Toc594"/>
      <w:bookmarkStart w:id="463" w:name="_Toc2037"/>
      <w:bookmarkStart w:id="464" w:name="_Toc10988"/>
      <w:bookmarkStart w:id="465" w:name="_Toc17800"/>
      <w:bookmarkStart w:id="466" w:name="_Toc6395"/>
      <w:r>
        <w:rPr>
          <w:rFonts w:hint="eastAsia"/>
          <w:color w:val="auto"/>
          <w:szCs w:val="21"/>
        </w:rPr>
        <w:t>法律、法规和标准识别获取</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042BD064">
      <w:pPr>
        <w:pStyle w:val="171"/>
        <w:ind w:left="0" w:hanging="10"/>
        <w:rPr>
          <w:color w:val="auto"/>
          <w:szCs w:val="21"/>
        </w:rPr>
      </w:pPr>
      <w:r>
        <w:rPr>
          <w:rFonts w:hint="eastAsia"/>
          <w:color w:val="auto"/>
          <w:szCs w:val="21"/>
        </w:rPr>
        <w:t>企业应获取适用</w:t>
      </w:r>
      <w:r>
        <w:rPr>
          <w:rFonts w:hint="eastAsia"/>
          <w:color w:val="auto"/>
          <w:szCs w:val="21"/>
          <w:lang w:eastAsia="zh-CN"/>
        </w:rPr>
        <w:t>本企业</w:t>
      </w:r>
      <w:r>
        <w:rPr>
          <w:rFonts w:hint="eastAsia"/>
          <w:color w:val="auto"/>
          <w:szCs w:val="21"/>
        </w:rPr>
        <w:t>的安全生产法律法规、标准及其他要求。获取范围包括但不限于：</w:t>
      </w:r>
    </w:p>
    <w:p w14:paraId="5A23307C">
      <w:pPr>
        <w:pStyle w:val="181"/>
        <w:numPr>
          <w:ilvl w:val="0"/>
          <w:numId w:val="35"/>
        </w:numPr>
        <w:tabs>
          <w:tab w:val="left" w:pos="840"/>
          <w:tab w:val="clear" w:pos="851"/>
        </w:tabs>
        <w:rPr>
          <w:color w:val="auto"/>
          <w:szCs w:val="21"/>
        </w:rPr>
      </w:pPr>
      <w:r>
        <w:rPr>
          <w:rFonts w:hint="eastAsia"/>
          <w:color w:val="auto"/>
          <w:szCs w:val="21"/>
        </w:rPr>
        <w:t>国家有关法律、法规和地方性法规；</w:t>
      </w:r>
    </w:p>
    <w:p w14:paraId="712A3C3C">
      <w:pPr>
        <w:pStyle w:val="181"/>
        <w:numPr>
          <w:ilvl w:val="0"/>
          <w:numId w:val="35"/>
        </w:numPr>
        <w:tabs>
          <w:tab w:val="left" w:pos="840"/>
          <w:tab w:val="clear" w:pos="851"/>
        </w:tabs>
        <w:rPr>
          <w:color w:val="auto"/>
          <w:szCs w:val="21"/>
        </w:rPr>
      </w:pPr>
      <w:r>
        <w:rPr>
          <w:rFonts w:hint="eastAsia"/>
          <w:color w:val="auto"/>
          <w:szCs w:val="21"/>
        </w:rPr>
        <w:t>相关部门规章；</w:t>
      </w:r>
    </w:p>
    <w:p w14:paraId="6E41C9A6">
      <w:pPr>
        <w:pStyle w:val="181"/>
        <w:numPr>
          <w:ilvl w:val="0"/>
          <w:numId w:val="35"/>
        </w:numPr>
        <w:tabs>
          <w:tab w:val="left" w:pos="840"/>
          <w:tab w:val="clear" w:pos="851"/>
        </w:tabs>
        <w:rPr>
          <w:color w:val="auto"/>
          <w:szCs w:val="21"/>
        </w:rPr>
      </w:pPr>
      <w:r>
        <w:rPr>
          <w:rFonts w:hint="eastAsia"/>
          <w:color w:val="auto"/>
          <w:szCs w:val="21"/>
        </w:rPr>
        <w:t>国家标准、行业标准、地方标准；</w:t>
      </w:r>
    </w:p>
    <w:p w14:paraId="70EB418B">
      <w:pPr>
        <w:pStyle w:val="181"/>
        <w:numPr>
          <w:ilvl w:val="0"/>
          <w:numId w:val="35"/>
        </w:numPr>
        <w:tabs>
          <w:tab w:val="left" w:pos="840"/>
          <w:tab w:val="clear" w:pos="851"/>
        </w:tabs>
        <w:rPr>
          <w:color w:val="auto"/>
          <w:szCs w:val="21"/>
        </w:rPr>
      </w:pPr>
      <w:r>
        <w:rPr>
          <w:rFonts w:hint="eastAsia"/>
          <w:color w:val="auto"/>
          <w:szCs w:val="21"/>
        </w:rPr>
        <w:t>各级负有安全生产监督管理职责部门发布的规范性文件。</w:t>
      </w:r>
    </w:p>
    <w:p w14:paraId="754DE78C">
      <w:pPr>
        <w:pStyle w:val="171"/>
        <w:ind w:left="0" w:hanging="10"/>
        <w:rPr>
          <w:color w:val="auto"/>
          <w:szCs w:val="21"/>
        </w:rPr>
      </w:pPr>
      <w:r>
        <w:rPr>
          <w:rFonts w:hint="eastAsia"/>
          <w:color w:val="auto"/>
          <w:szCs w:val="21"/>
        </w:rPr>
        <w:t>企业应将获取的安全生产法律法规、标准及其他要求识别出</w:t>
      </w:r>
      <w:r>
        <w:rPr>
          <w:rFonts w:hint="default"/>
          <w:color w:val="auto"/>
          <w:szCs w:val="21"/>
        </w:rPr>
        <w:t>企业适用的</w:t>
      </w:r>
      <w:r>
        <w:rPr>
          <w:rFonts w:hint="eastAsia"/>
          <w:color w:val="auto"/>
          <w:szCs w:val="21"/>
          <w:highlight w:val="none"/>
        </w:rPr>
        <w:t>具体条款</w:t>
      </w:r>
      <w:r>
        <w:rPr>
          <w:rFonts w:hint="eastAsia"/>
          <w:color w:val="auto"/>
          <w:szCs w:val="21"/>
        </w:rPr>
        <w:t>，形成清单</w:t>
      </w:r>
      <w:r>
        <w:rPr>
          <w:rFonts w:hint="eastAsia" w:hAnsi="宋体" w:cs="宋体"/>
          <w:color w:val="auto"/>
          <w:szCs w:val="21"/>
          <w:lang w:bidi="ar"/>
        </w:rPr>
        <w:t>及</w:t>
      </w:r>
      <w:r>
        <w:rPr>
          <w:rFonts w:hint="eastAsia"/>
          <w:color w:val="auto"/>
          <w:szCs w:val="21"/>
        </w:rPr>
        <w:t>文本数据库</w:t>
      </w:r>
      <w:r>
        <w:rPr>
          <w:rFonts w:hint="eastAsia" w:hAnsi="宋体" w:cs="宋体"/>
          <w:color w:val="auto"/>
          <w:szCs w:val="21"/>
          <w:lang w:bidi="ar"/>
        </w:rPr>
        <w:t>，并适时更新</w:t>
      </w:r>
      <w:r>
        <w:rPr>
          <w:rFonts w:hint="eastAsia"/>
          <w:color w:val="auto"/>
          <w:szCs w:val="21"/>
        </w:rPr>
        <w:t>。</w:t>
      </w:r>
    </w:p>
    <w:p w14:paraId="3A280E7B">
      <w:pPr>
        <w:pStyle w:val="79"/>
        <w:spacing w:before="160" w:after="160"/>
        <w:rPr>
          <w:color w:val="auto"/>
          <w:szCs w:val="21"/>
        </w:rPr>
      </w:pPr>
      <w:bookmarkStart w:id="467" w:name="_Toc32494"/>
      <w:bookmarkStart w:id="468" w:name="_Toc4563"/>
      <w:bookmarkStart w:id="469" w:name="_Toc27348"/>
      <w:bookmarkStart w:id="470" w:name="_Toc11786"/>
      <w:bookmarkStart w:id="471" w:name="_Toc15649"/>
      <w:bookmarkStart w:id="472" w:name="_Toc26929"/>
      <w:bookmarkStart w:id="473" w:name="_Toc21600"/>
      <w:bookmarkStart w:id="474" w:name="_Toc27449"/>
      <w:bookmarkStart w:id="475" w:name="_Toc22015"/>
      <w:bookmarkStart w:id="476" w:name="_Toc32283"/>
      <w:bookmarkStart w:id="477" w:name="_Toc14194"/>
      <w:bookmarkStart w:id="478" w:name="_Toc1603"/>
      <w:bookmarkStart w:id="479" w:name="_Toc24861"/>
      <w:bookmarkStart w:id="480" w:name="_Toc16411"/>
      <w:bookmarkStart w:id="481" w:name="_Toc5840"/>
      <w:bookmarkStart w:id="482" w:name="_Toc10267"/>
      <w:bookmarkStart w:id="483" w:name="_Toc1345"/>
      <w:r>
        <w:rPr>
          <w:rFonts w:hint="eastAsia"/>
          <w:color w:val="auto"/>
          <w:szCs w:val="21"/>
        </w:rPr>
        <w:t>安全生产规章制度</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0A291FC0">
      <w:pPr>
        <w:pStyle w:val="171"/>
        <w:ind w:left="0" w:hanging="10"/>
        <w:rPr>
          <w:color w:val="auto"/>
          <w:szCs w:val="21"/>
        </w:rPr>
      </w:pPr>
      <w:bookmarkStart w:id="484" w:name="OLE_LINK6"/>
      <w:r>
        <w:rPr>
          <w:rFonts w:hint="eastAsia"/>
          <w:color w:val="auto"/>
          <w:szCs w:val="21"/>
        </w:rPr>
        <w:t>企业应将适用于本企业的有关安全生产法律法规和标准规定</w:t>
      </w:r>
      <w:r>
        <w:rPr>
          <w:rFonts w:hint="eastAsia"/>
          <w:color w:val="auto"/>
          <w:szCs w:val="21"/>
          <w:highlight w:val="none"/>
        </w:rPr>
        <w:t>转化为</w:t>
      </w:r>
      <w:r>
        <w:rPr>
          <w:rFonts w:hint="eastAsia"/>
          <w:color w:val="auto"/>
          <w:szCs w:val="21"/>
        </w:rPr>
        <w:t>企业安全生产规章制度的具体内容，并严格落实。</w:t>
      </w:r>
    </w:p>
    <w:p w14:paraId="6E5A3816">
      <w:pPr>
        <w:pStyle w:val="171"/>
        <w:ind w:left="0" w:hanging="10"/>
        <w:rPr>
          <w:color w:val="auto"/>
          <w:szCs w:val="21"/>
        </w:rPr>
      </w:pPr>
      <w:r>
        <w:rPr>
          <w:rFonts w:hint="eastAsia" w:hAnsi="宋体" w:cs="宋体"/>
          <w:color w:val="auto"/>
          <w:szCs w:val="21"/>
          <w:lang w:bidi="ar"/>
        </w:rPr>
        <w:t>企业主要负责人应组织审定签发</w:t>
      </w:r>
      <w:bookmarkStart w:id="485" w:name="OLE_LINK11"/>
      <w:r>
        <w:rPr>
          <w:rFonts w:hint="eastAsia" w:hAnsi="宋体" w:cs="宋体"/>
          <w:color w:val="auto"/>
          <w:szCs w:val="21"/>
          <w:lang w:bidi="ar"/>
        </w:rPr>
        <w:t>安全生产规章制度</w:t>
      </w:r>
      <w:bookmarkEnd w:id="485"/>
      <w:r>
        <w:rPr>
          <w:rFonts w:hint="eastAsia" w:hAnsi="宋体" w:cs="宋体"/>
          <w:color w:val="auto"/>
          <w:szCs w:val="21"/>
          <w:lang w:eastAsia="zh-CN" w:bidi="ar"/>
        </w:rPr>
        <w:t>，</w:t>
      </w:r>
      <w:r>
        <w:rPr>
          <w:rFonts w:hint="eastAsia" w:hAnsi="宋体" w:cs="宋体"/>
          <w:color w:val="auto"/>
          <w:szCs w:val="21"/>
          <w:lang w:val="en-US" w:eastAsia="zh-CN" w:bidi="ar"/>
        </w:rPr>
        <w:t>并</w:t>
      </w:r>
      <w:r>
        <w:rPr>
          <w:rFonts w:hint="eastAsia" w:hAnsi="宋体" w:cs="宋体"/>
          <w:color w:val="auto"/>
          <w:szCs w:val="21"/>
          <w:lang w:bidi="ar"/>
        </w:rPr>
        <w:t>发放到有关的工作岗位。</w:t>
      </w:r>
    </w:p>
    <w:bookmarkEnd w:id="484"/>
    <w:p w14:paraId="705973C0">
      <w:pPr>
        <w:pStyle w:val="171"/>
        <w:ind w:left="0" w:hanging="10"/>
        <w:rPr>
          <w:color w:val="auto"/>
          <w:szCs w:val="21"/>
        </w:rPr>
      </w:pPr>
      <w:r>
        <w:rPr>
          <w:rFonts w:hint="eastAsia"/>
          <w:color w:val="auto"/>
          <w:szCs w:val="21"/>
        </w:rPr>
        <w:t>企业应至少每年对安全生产规章制度进行评审或修订，确保其</w:t>
      </w:r>
      <w:r>
        <w:rPr>
          <w:rFonts w:hint="default"/>
          <w:color w:val="auto"/>
          <w:szCs w:val="21"/>
        </w:rPr>
        <w:t>符合性、</w:t>
      </w:r>
      <w:r>
        <w:rPr>
          <w:rFonts w:hint="eastAsia"/>
          <w:color w:val="auto"/>
          <w:szCs w:val="21"/>
        </w:rPr>
        <w:t>适用性和有效性。当发生以下情况时，应及时进行评审</w:t>
      </w:r>
      <w:r>
        <w:rPr>
          <w:rFonts w:hint="eastAsia"/>
          <w:color w:val="auto"/>
          <w:szCs w:val="21"/>
          <w:lang w:val="en-US" w:eastAsia="zh-CN"/>
        </w:rPr>
        <w:t>或</w:t>
      </w:r>
      <w:r>
        <w:rPr>
          <w:rFonts w:hint="eastAsia"/>
          <w:color w:val="auto"/>
          <w:szCs w:val="21"/>
        </w:rPr>
        <w:t>修订：</w:t>
      </w:r>
    </w:p>
    <w:p w14:paraId="69FED21A">
      <w:pPr>
        <w:pStyle w:val="181"/>
        <w:numPr>
          <w:ilvl w:val="0"/>
          <w:numId w:val="36"/>
        </w:numPr>
        <w:tabs>
          <w:tab w:val="left" w:pos="840"/>
          <w:tab w:val="clear" w:pos="851"/>
        </w:tabs>
        <w:rPr>
          <w:color w:val="auto"/>
          <w:szCs w:val="21"/>
        </w:rPr>
      </w:pPr>
      <w:r>
        <w:rPr>
          <w:rFonts w:hint="eastAsia"/>
          <w:color w:val="auto"/>
          <w:szCs w:val="21"/>
          <w:lang w:val="en-US" w:eastAsia="zh-CN"/>
        </w:rPr>
        <w:t>相关</w:t>
      </w:r>
      <w:r>
        <w:rPr>
          <w:rFonts w:hint="eastAsia"/>
          <w:color w:val="auto"/>
          <w:szCs w:val="21"/>
        </w:rPr>
        <w:t>安全生产法律法规、规程、标准新颁布、修订或废止时；</w:t>
      </w:r>
    </w:p>
    <w:p w14:paraId="1E985E43">
      <w:pPr>
        <w:pStyle w:val="181"/>
        <w:numPr>
          <w:ilvl w:val="0"/>
          <w:numId w:val="36"/>
        </w:numPr>
        <w:tabs>
          <w:tab w:val="left" w:pos="840"/>
          <w:tab w:val="clear" w:pos="851"/>
        </w:tabs>
        <w:rPr>
          <w:color w:val="auto"/>
          <w:szCs w:val="21"/>
        </w:rPr>
      </w:pPr>
      <w:r>
        <w:rPr>
          <w:rFonts w:hint="eastAsia"/>
          <w:color w:val="auto"/>
          <w:szCs w:val="21"/>
        </w:rPr>
        <w:t>企业归属、体制、规模发生重大变化时；</w:t>
      </w:r>
    </w:p>
    <w:p w14:paraId="27A5FE19">
      <w:pPr>
        <w:pStyle w:val="181"/>
        <w:numPr>
          <w:ilvl w:val="0"/>
          <w:numId w:val="36"/>
        </w:numPr>
        <w:tabs>
          <w:tab w:val="left" w:pos="840"/>
          <w:tab w:val="clear" w:pos="851"/>
        </w:tabs>
        <w:rPr>
          <w:color w:val="auto"/>
          <w:szCs w:val="21"/>
        </w:rPr>
      </w:pPr>
      <w:r>
        <w:rPr>
          <w:rFonts w:hint="eastAsia"/>
          <w:color w:val="auto"/>
          <w:szCs w:val="21"/>
        </w:rPr>
        <w:t>安全检查、风险评价过程中发现涉及规章制度层面的问题时；</w:t>
      </w:r>
    </w:p>
    <w:p w14:paraId="547DD5CC">
      <w:pPr>
        <w:pStyle w:val="181"/>
        <w:numPr>
          <w:ilvl w:val="0"/>
          <w:numId w:val="36"/>
        </w:numPr>
        <w:tabs>
          <w:tab w:val="left" w:pos="840"/>
          <w:tab w:val="clear" w:pos="851"/>
        </w:tabs>
        <w:rPr>
          <w:color w:val="auto"/>
          <w:szCs w:val="21"/>
          <w:highlight w:val="none"/>
        </w:rPr>
      </w:pPr>
      <w:r>
        <w:rPr>
          <w:rFonts w:hint="eastAsia"/>
          <w:color w:val="auto"/>
          <w:szCs w:val="21"/>
          <w:highlight w:val="none"/>
        </w:rPr>
        <w:t>其他相关事项。</w:t>
      </w:r>
    </w:p>
    <w:p w14:paraId="0CFFA887">
      <w:pPr>
        <w:pStyle w:val="79"/>
        <w:spacing w:before="160" w:after="160"/>
        <w:rPr>
          <w:color w:val="auto"/>
          <w:szCs w:val="21"/>
        </w:rPr>
      </w:pPr>
      <w:bookmarkStart w:id="486" w:name="_Toc32294"/>
      <w:bookmarkStart w:id="487" w:name="_Toc1683"/>
      <w:bookmarkStart w:id="488" w:name="_Toc28666"/>
      <w:bookmarkStart w:id="489" w:name="_Toc24229"/>
      <w:bookmarkStart w:id="490" w:name="_Toc15250"/>
      <w:bookmarkStart w:id="491" w:name="_Toc12666"/>
      <w:bookmarkStart w:id="492" w:name="_Toc18677"/>
      <w:bookmarkStart w:id="493" w:name="_Toc13497"/>
      <w:bookmarkStart w:id="494" w:name="_Toc19629"/>
      <w:bookmarkStart w:id="495" w:name="_Toc22361"/>
      <w:bookmarkStart w:id="496" w:name="_Toc30854"/>
      <w:bookmarkStart w:id="497" w:name="_Toc1825"/>
      <w:bookmarkStart w:id="498" w:name="_Toc6279"/>
      <w:bookmarkStart w:id="499" w:name="_Toc31340"/>
      <w:bookmarkStart w:id="500" w:name="_Toc17910"/>
      <w:bookmarkStart w:id="501" w:name="_Toc1061"/>
      <w:bookmarkStart w:id="502" w:name="_Toc11943"/>
      <w:bookmarkStart w:id="503" w:name="_Toc13380"/>
      <w:bookmarkStart w:id="504" w:name="_Toc14955"/>
      <w:bookmarkStart w:id="505" w:name="_Toc27028"/>
      <w:bookmarkStart w:id="506" w:name="_Toc1407"/>
      <w:bookmarkStart w:id="507" w:name="_Toc20495"/>
      <w:r>
        <w:rPr>
          <w:rFonts w:hint="eastAsia"/>
          <w:color w:val="auto"/>
          <w:szCs w:val="21"/>
        </w:rPr>
        <w:t>合规审核</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766E1298">
      <w:pPr>
        <w:pStyle w:val="171"/>
        <w:ind w:left="0" w:hanging="10"/>
        <w:rPr>
          <w:color w:val="auto"/>
          <w:szCs w:val="21"/>
        </w:rPr>
      </w:pPr>
      <w:r>
        <w:rPr>
          <w:rFonts w:hint="eastAsia"/>
          <w:color w:val="auto"/>
          <w:szCs w:val="21"/>
        </w:rPr>
        <w:t>企业应依据相关法律法规、国家标准和行业规范，通过内部审查和第三方评估相结合的方式，</w:t>
      </w:r>
      <w:r>
        <w:rPr>
          <w:rFonts w:hint="default"/>
          <w:color w:val="auto"/>
          <w:szCs w:val="21"/>
        </w:rPr>
        <w:t>至少每年</w:t>
      </w:r>
      <w:r>
        <w:rPr>
          <w:rFonts w:hint="eastAsia"/>
          <w:color w:val="auto"/>
          <w:szCs w:val="21"/>
        </w:rPr>
        <w:t>对适用的安全生产法律法规、标准及其他有关要求</w:t>
      </w:r>
      <w:r>
        <w:rPr>
          <w:rFonts w:hint="default"/>
          <w:color w:val="auto"/>
          <w:szCs w:val="21"/>
        </w:rPr>
        <w:t>的</w:t>
      </w:r>
      <w:r>
        <w:rPr>
          <w:rFonts w:hint="eastAsia"/>
          <w:color w:val="auto"/>
          <w:szCs w:val="21"/>
        </w:rPr>
        <w:t>执行</w:t>
      </w:r>
      <w:r>
        <w:rPr>
          <w:rFonts w:hint="default"/>
          <w:color w:val="auto"/>
          <w:szCs w:val="21"/>
        </w:rPr>
        <w:t>情况，以及安全生产规章制度的落实情况</w:t>
      </w:r>
      <w:r>
        <w:rPr>
          <w:rFonts w:hint="eastAsia"/>
          <w:color w:val="auto"/>
          <w:szCs w:val="21"/>
        </w:rPr>
        <w:t>进行合规审核，对审核发现的不符合项，制定并落实整改措施。</w:t>
      </w:r>
    </w:p>
    <w:p w14:paraId="23634DAC">
      <w:pPr>
        <w:pStyle w:val="171"/>
        <w:ind w:left="0" w:hanging="10"/>
        <w:rPr>
          <w:color w:val="auto"/>
          <w:szCs w:val="21"/>
        </w:rPr>
      </w:pPr>
      <w:r>
        <w:rPr>
          <w:rFonts w:hint="eastAsia"/>
          <w:color w:val="auto"/>
          <w:szCs w:val="21"/>
        </w:rPr>
        <w:t>企业在发生生产安全事故、重大安全事件时，应组织开展合规审核。</w:t>
      </w:r>
    </w:p>
    <w:bookmarkEnd w:id="503"/>
    <w:bookmarkEnd w:id="504"/>
    <w:bookmarkEnd w:id="505"/>
    <w:bookmarkEnd w:id="506"/>
    <w:bookmarkEnd w:id="507"/>
    <w:p w14:paraId="6B58EE8E">
      <w:pPr>
        <w:pStyle w:val="114"/>
        <w:spacing w:before="160" w:after="160"/>
        <w:rPr>
          <w:color w:val="auto"/>
          <w:szCs w:val="21"/>
        </w:rPr>
      </w:pPr>
      <w:bookmarkStart w:id="508" w:name="_Toc1826"/>
      <w:bookmarkStart w:id="509" w:name="_Toc26652"/>
      <w:bookmarkStart w:id="510" w:name="_Toc11810"/>
      <w:bookmarkStart w:id="511" w:name="_Toc23125"/>
      <w:bookmarkStart w:id="512" w:name="_Toc28842"/>
      <w:bookmarkStart w:id="513" w:name="_Toc12462"/>
      <w:bookmarkStart w:id="514" w:name="_Toc842"/>
      <w:bookmarkStart w:id="515" w:name="_Toc3044"/>
      <w:bookmarkStart w:id="516" w:name="_Toc22403"/>
      <w:bookmarkStart w:id="517" w:name="_Toc13065"/>
      <w:bookmarkStart w:id="518" w:name="_Toc27813"/>
      <w:bookmarkStart w:id="519" w:name="_Toc27206"/>
      <w:bookmarkStart w:id="520" w:name="_Toc20444"/>
      <w:bookmarkStart w:id="521" w:name="_Toc30448"/>
      <w:bookmarkStart w:id="522" w:name="_Toc1527"/>
      <w:bookmarkStart w:id="523" w:name="_Toc19155"/>
      <w:bookmarkStart w:id="524" w:name="_Toc16642"/>
      <w:bookmarkStart w:id="525" w:name="_Toc9269"/>
      <w:bookmarkStart w:id="526" w:name="_Toc19866"/>
      <w:bookmarkStart w:id="527" w:name="_Toc30576"/>
      <w:bookmarkStart w:id="528" w:name="_Toc2542"/>
      <w:bookmarkStart w:id="529" w:name="_Toc18425"/>
      <w:r>
        <w:rPr>
          <w:rFonts w:hint="eastAsia"/>
          <w:color w:val="auto"/>
          <w:szCs w:val="21"/>
        </w:rPr>
        <w:t>安全教育培训</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3ECD7A53">
      <w:pPr>
        <w:pStyle w:val="79"/>
        <w:spacing w:before="160" w:after="160"/>
        <w:rPr>
          <w:color w:val="auto"/>
          <w:szCs w:val="21"/>
        </w:rPr>
      </w:pPr>
      <w:bookmarkStart w:id="530" w:name="_Toc27227"/>
      <w:bookmarkStart w:id="531" w:name="_Toc62826423"/>
      <w:bookmarkStart w:id="532" w:name="_Toc16938"/>
      <w:bookmarkStart w:id="533" w:name="_Toc6035"/>
      <w:bookmarkStart w:id="534" w:name="_Toc31369"/>
      <w:bookmarkStart w:id="535" w:name="_Toc11430"/>
      <w:bookmarkStart w:id="536" w:name="_Toc14349"/>
      <w:bookmarkStart w:id="537" w:name="_Toc29995"/>
      <w:bookmarkStart w:id="538" w:name="_Toc17789"/>
      <w:bookmarkStart w:id="539" w:name="_Toc3138"/>
      <w:bookmarkStart w:id="540" w:name="_Toc32307"/>
      <w:bookmarkStart w:id="541" w:name="_Toc27935"/>
      <w:bookmarkStart w:id="542" w:name="_Toc12223"/>
      <w:bookmarkStart w:id="543" w:name="_Toc10994"/>
      <w:bookmarkStart w:id="544" w:name="_Toc21741"/>
      <w:bookmarkStart w:id="545" w:name="_Toc15404"/>
      <w:bookmarkStart w:id="546" w:name="_Toc17617"/>
      <w:bookmarkStart w:id="547" w:name="_Toc9035"/>
      <w:bookmarkStart w:id="548" w:name="_Toc14625"/>
      <w:bookmarkStart w:id="549" w:name="_Toc15352"/>
      <w:bookmarkStart w:id="550" w:name="_Toc19516"/>
      <w:bookmarkStart w:id="551" w:name="_Toc8431"/>
      <w:bookmarkStart w:id="552" w:name="_Toc62828525"/>
      <w:bookmarkStart w:id="553" w:name="_Toc22643"/>
      <w:bookmarkStart w:id="554" w:name="_Toc4637"/>
      <w:bookmarkStart w:id="555" w:name="_Toc11045"/>
      <w:r>
        <w:rPr>
          <w:rFonts w:hint="eastAsia"/>
          <w:color w:val="auto"/>
          <w:szCs w:val="21"/>
        </w:rPr>
        <w:t>教育培训管理</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6D198570">
      <w:pPr>
        <w:pStyle w:val="171"/>
        <w:ind w:left="0" w:hanging="10"/>
        <w:rPr>
          <w:color w:val="auto"/>
          <w:szCs w:val="21"/>
        </w:rPr>
      </w:pPr>
      <w:r>
        <w:rPr>
          <w:rFonts w:hint="eastAsia"/>
          <w:color w:val="auto"/>
          <w:szCs w:val="21"/>
          <w:lang w:eastAsia="zh-CN"/>
        </w:rPr>
        <w:t>企业应依据国家法律法规和标准，</w:t>
      </w:r>
      <w:r>
        <w:rPr>
          <w:rFonts w:hint="default"/>
          <w:color w:val="auto"/>
          <w:szCs w:val="21"/>
        </w:rPr>
        <w:t>结合企业实际，</w:t>
      </w:r>
      <w:r>
        <w:rPr>
          <w:rFonts w:hint="eastAsia"/>
          <w:color w:val="auto"/>
          <w:szCs w:val="21"/>
        </w:rPr>
        <w:t>每年识别安全教育培训需求，确定各岗位的具体培训内容，制定并实施安全教育</w:t>
      </w:r>
      <w:r>
        <w:rPr>
          <w:rFonts w:hint="eastAsia"/>
          <w:color w:val="auto"/>
          <w:szCs w:val="21"/>
          <w:highlight w:val="none"/>
        </w:rPr>
        <w:t>培训计划</w:t>
      </w:r>
      <w:r>
        <w:rPr>
          <w:rFonts w:hint="eastAsia"/>
          <w:color w:val="auto"/>
          <w:szCs w:val="21"/>
          <w:lang w:eastAsia="zh-CN"/>
        </w:rPr>
        <w:t>。</w:t>
      </w:r>
    </w:p>
    <w:p w14:paraId="2D166533">
      <w:pPr>
        <w:pStyle w:val="171"/>
        <w:ind w:left="0" w:hanging="10"/>
        <w:rPr>
          <w:color w:val="auto"/>
          <w:szCs w:val="21"/>
        </w:rPr>
      </w:pPr>
      <w:r>
        <w:rPr>
          <w:rFonts w:hint="eastAsia" w:ascii="宋体" w:hAnsi="宋体" w:cs="宋体"/>
          <w:color w:val="auto"/>
          <w:kern w:val="0"/>
          <w:sz w:val="21"/>
          <w:szCs w:val="21"/>
          <w:lang w:bidi="ar"/>
        </w:rPr>
        <w:t>企业应建立健全从业人员安全教育培训档案，详细记录</w:t>
      </w:r>
      <w:r>
        <w:rPr>
          <w:rFonts w:hint="eastAsia" w:hAnsi="宋体" w:cs="宋体"/>
          <w:color w:val="auto"/>
          <w:kern w:val="0"/>
          <w:sz w:val="21"/>
          <w:szCs w:val="21"/>
          <w:lang w:val="en-US" w:eastAsia="zh-CN" w:bidi="ar"/>
        </w:rPr>
        <w:t>全</w:t>
      </w:r>
      <w:r>
        <w:rPr>
          <w:rFonts w:hint="eastAsia" w:ascii="宋体" w:hAnsi="宋体" w:cs="宋体"/>
          <w:color w:val="auto"/>
          <w:kern w:val="0"/>
          <w:sz w:val="21"/>
          <w:szCs w:val="21"/>
          <w:lang w:bidi="ar"/>
        </w:rPr>
        <w:t>员参加安全教育培训的时间、内容、考核结果及复训情况，</w:t>
      </w:r>
      <w:r>
        <w:rPr>
          <w:rFonts w:hint="eastAsia" w:hAnsi="宋体" w:cs="宋体"/>
          <w:color w:val="auto"/>
          <w:kern w:val="0"/>
          <w:sz w:val="21"/>
          <w:szCs w:val="21"/>
          <w:lang w:val="en-US" w:eastAsia="zh-CN" w:bidi="ar"/>
        </w:rPr>
        <w:t>尤其是</w:t>
      </w:r>
      <w:r>
        <w:rPr>
          <w:rFonts w:hint="eastAsia" w:ascii="宋体" w:hAnsi="宋体" w:cs="宋体"/>
          <w:color w:val="auto"/>
          <w:kern w:val="0"/>
          <w:sz w:val="21"/>
          <w:szCs w:val="21"/>
          <w:lang w:bidi="ar"/>
        </w:rPr>
        <w:t>主要负责人、安全生产管理人员和特种作业人员</w:t>
      </w:r>
      <w:r>
        <w:rPr>
          <w:rFonts w:hint="eastAsia" w:hAnsi="宋体" w:cs="宋体"/>
          <w:color w:val="auto"/>
          <w:kern w:val="0"/>
          <w:sz w:val="21"/>
          <w:szCs w:val="21"/>
          <w:lang w:eastAsia="zh-CN" w:bidi="ar"/>
        </w:rPr>
        <w:t>、</w:t>
      </w:r>
      <w:r>
        <w:rPr>
          <w:rFonts w:hint="eastAsia" w:hAnsi="宋体" w:cs="宋体"/>
          <w:color w:val="auto"/>
          <w:kern w:val="0"/>
          <w:sz w:val="21"/>
          <w:szCs w:val="21"/>
          <w:lang w:val="en-US" w:eastAsia="zh-CN" w:bidi="ar"/>
        </w:rPr>
        <w:t>特种设备操作人员</w:t>
      </w:r>
      <w:r>
        <w:rPr>
          <w:rFonts w:hint="eastAsia" w:ascii="宋体" w:hAnsi="宋体" w:cs="宋体"/>
          <w:color w:val="auto"/>
          <w:kern w:val="0"/>
          <w:sz w:val="21"/>
          <w:szCs w:val="21"/>
          <w:lang w:bidi="ar"/>
        </w:rPr>
        <w:t>按照规定安全</w:t>
      </w:r>
      <w:r>
        <w:rPr>
          <w:rFonts w:hint="eastAsia" w:hAnsi="宋体" w:cs="宋体"/>
          <w:color w:val="auto"/>
          <w:kern w:val="0"/>
          <w:sz w:val="21"/>
          <w:szCs w:val="21"/>
          <w:lang w:val="en-US" w:eastAsia="zh-CN" w:bidi="ar"/>
        </w:rPr>
        <w:t>教育</w:t>
      </w:r>
      <w:r>
        <w:rPr>
          <w:rFonts w:hint="eastAsia" w:ascii="宋体" w:hAnsi="宋体" w:cs="宋体"/>
          <w:color w:val="auto"/>
          <w:kern w:val="0"/>
          <w:sz w:val="21"/>
          <w:szCs w:val="21"/>
          <w:lang w:bidi="ar"/>
        </w:rPr>
        <w:t>培训的情况。</w:t>
      </w:r>
    </w:p>
    <w:p w14:paraId="7595785A">
      <w:pPr>
        <w:pStyle w:val="171"/>
        <w:ind w:left="0" w:hanging="10"/>
        <w:rPr>
          <w:color w:val="auto"/>
          <w:szCs w:val="21"/>
        </w:rPr>
      </w:pPr>
      <w:r>
        <w:rPr>
          <w:rFonts w:hint="eastAsia"/>
          <w:color w:val="auto"/>
          <w:szCs w:val="21"/>
        </w:rPr>
        <w:t>企业安全教育培训主管部门或实施部门应对教育培训效果进行评价，根据评价结果对培训计划进行调整和优化。</w:t>
      </w:r>
    </w:p>
    <w:p w14:paraId="7663A09A">
      <w:pPr>
        <w:pStyle w:val="79"/>
        <w:spacing w:before="160" w:after="160"/>
        <w:rPr>
          <w:color w:val="auto"/>
          <w:szCs w:val="21"/>
        </w:rPr>
      </w:pPr>
      <w:bookmarkStart w:id="556" w:name="_Toc13015"/>
      <w:bookmarkStart w:id="557" w:name="_Toc19400"/>
      <w:bookmarkStart w:id="558" w:name="_Toc29598"/>
      <w:bookmarkStart w:id="559" w:name="_Toc18491"/>
      <w:bookmarkStart w:id="560" w:name="_Toc13619"/>
      <w:bookmarkStart w:id="561" w:name="_Toc32460"/>
      <w:bookmarkStart w:id="562" w:name="_Toc23863"/>
      <w:bookmarkStart w:id="563" w:name="_Toc23926"/>
      <w:bookmarkStart w:id="564" w:name="_Toc20057"/>
      <w:bookmarkStart w:id="565" w:name="_Toc29009"/>
      <w:bookmarkStart w:id="566" w:name="_Toc21646"/>
      <w:bookmarkStart w:id="567" w:name="_Toc1856"/>
      <w:bookmarkStart w:id="568" w:name="_Toc6725"/>
      <w:bookmarkStart w:id="569" w:name="_Toc27981"/>
      <w:bookmarkStart w:id="570" w:name="_Toc27712"/>
      <w:bookmarkStart w:id="571" w:name="_Toc26975"/>
      <w:bookmarkStart w:id="572" w:name="_Toc9407"/>
      <w:bookmarkStart w:id="573" w:name="_Toc3194"/>
      <w:bookmarkStart w:id="574" w:name="_Toc19322"/>
      <w:bookmarkStart w:id="575" w:name="_Toc6501"/>
      <w:bookmarkStart w:id="576" w:name="_Toc22462"/>
      <w:bookmarkStart w:id="577" w:name="_Toc31545"/>
      <w:r>
        <w:rPr>
          <w:rFonts w:hint="eastAsia"/>
          <w:color w:val="auto"/>
          <w:szCs w:val="21"/>
        </w:rPr>
        <w:t>岗位能力标准</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17E0DC61">
      <w:pPr>
        <w:pStyle w:val="171"/>
        <w:ind w:left="0" w:hanging="10"/>
        <w:rPr>
          <w:color w:val="auto"/>
          <w:szCs w:val="21"/>
        </w:rPr>
      </w:pPr>
      <w:r>
        <w:rPr>
          <w:rFonts w:hint="eastAsia"/>
          <w:color w:val="auto"/>
          <w:szCs w:val="21"/>
        </w:rPr>
        <w:t>企业应编制岗位说明书，明确从业人员所需的专业、学历、技术职称、工作经历等要求，制定岗位能力标准。</w:t>
      </w:r>
    </w:p>
    <w:p w14:paraId="0C3A2E70">
      <w:pPr>
        <w:pStyle w:val="171"/>
        <w:ind w:left="0" w:hanging="10"/>
        <w:rPr>
          <w:color w:val="auto"/>
          <w:szCs w:val="21"/>
        </w:rPr>
      </w:pPr>
      <w:r>
        <w:rPr>
          <w:rFonts w:hint="eastAsia"/>
          <w:color w:val="auto"/>
          <w:szCs w:val="21"/>
        </w:rPr>
        <w:t>企业应依据各岗位所需要的能力要求，将岗位能力标准转化为培训目标，确定各个岗位的具体培训内容。</w:t>
      </w:r>
    </w:p>
    <w:p w14:paraId="751F0B3B">
      <w:pPr>
        <w:pStyle w:val="79"/>
        <w:spacing w:before="160" w:after="160"/>
        <w:rPr>
          <w:color w:val="auto"/>
          <w:szCs w:val="21"/>
        </w:rPr>
      </w:pPr>
      <w:bookmarkStart w:id="578" w:name="_Toc23141"/>
      <w:bookmarkStart w:id="579" w:name="_Toc28839"/>
      <w:bookmarkStart w:id="580" w:name="_Toc16277"/>
      <w:bookmarkStart w:id="581" w:name="_Toc28683"/>
      <w:bookmarkStart w:id="582" w:name="_Toc601"/>
      <w:bookmarkStart w:id="583" w:name="_Toc27441"/>
      <w:bookmarkStart w:id="584" w:name="_Toc6913"/>
      <w:bookmarkStart w:id="585" w:name="_Toc25169"/>
      <w:bookmarkStart w:id="586" w:name="_Toc32463"/>
      <w:bookmarkStart w:id="587" w:name="_Toc11925"/>
      <w:bookmarkStart w:id="588" w:name="_Toc62826425"/>
      <w:bookmarkStart w:id="589" w:name="_Toc62828527"/>
      <w:bookmarkStart w:id="590" w:name="_Toc3553"/>
      <w:bookmarkStart w:id="591" w:name="_Toc1544"/>
      <w:bookmarkStart w:id="592" w:name="_Toc27425"/>
      <w:bookmarkStart w:id="593" w:name="_Toc6914"/>
      <w:bookmarkStart w:id="594" w:name="_Toc18668"/>
      <w:bookmarkStart w:id="595" w:name="_Toc12585"/>
      <w:bookmarkStart w:id="596" w:name="_Toc25583"/>
      <w:bookmarkStart w:id="597" w:name="_Toc9397"/>
      <w:bookmarkStart w:id="598" w:name="_Toc12292"/>
      <w:bookmarkStart w:id="599" w:name="_Toc13697"/>
      <w:bookmarkStart w:id="600" w:name="_Toc21946"/>
      <w:bookmarkStart w:id="601" w:name="_Toc8595"/>
      <w:bookmarkStart w:id="602" w:name="_Toc23380"/>
      <w:bookmarkStart w:id="603" w:name="_Toc10669"/>
      <w:r>
        <w:rPr>
          <w:rFonts w:hint="eastAsia"/>
          <w:color w:val="auto"/>
          <w:szCs w:val="21"/>
        </w:rPr>
        <w:t>从业人员教育培训</w:t>
      </w:r>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77449973">
      <w:pPr>
        <w:pStyle w:val="171"/>
        <w:ind w:left="0" w:hanging="10"/>
        <w:rPr>
          <w:color w:val="auto"/>
          <w:szCs w:val="21"/>
        </w:rPr>
      </w:pPr>
      <w:r>
        <w:rPr>
          <w:rFonts w:hint="eastAsia"/>
          <w:color w:val="auto"/>
          <w:szCs w:val="21"/>
        </w:rPr>
        <w:t>企业主要负责人和安全生产管理人员</w:t>
      </w:r>
      <w:r>
        <w:rPr>
          <w:rFonts w:hint="default"/>
          <w:color w:val="auto"/>
          <w:szCs w:val="21"/>
        </w:rPr>
        <w:t>学历、职称、工作经验应满足相关规定要求，同时</w:t>
      </w:r>
      <w:r>
        <w:rPr>
          <w:rFonts w:hint="eastAsia"/>
          <w:color w:val="auto"/>
          <w:szCs w:val="21"/>
        </w:rPr>
        <w:t>接受应急管理部门组织的安全教育培训</w:t>
      </w:r>
      <w:r>
        <w:rPr>
          <w:rFonts w:hint="eastAsia"/>
          <w:color w:val="auto"/>
          <w:szCs w:val="21"/>
          <w:lang w:eastAsia="zh-CN"/>
        </w:rPr>
        <w:t>。</w:t>
      </w:r>
    </w:p>
    <w:p w14:paraId="0F29C4CD">
      <w:pPr>
        <w:pStyle w:val="171"/>
        <w:ind w:left="0" w:hanging="10"/>
        <w:rPr>
          <w:color w:val="auto"/>
          <w:szCs w:val="21"/>
        </w:rPr>
      </w:pPr>
      <w:r>
        <w:rPr>
          <w:rFonts w:hint="eastAsia"/>
          <w:color w:val="auto"/>
          <w:szCs w:val="21"/>
        </w:rPr>
        <w:t>企业新从业人员应接受</w:t>
      </w:r>
      <w:r>
        <w:rPr>
          <w:rFonts w:hint="eastAsia"/>
          <w:color w:val="auto"/>
          <w:szCs w:val="21"/>
          <w:lang w:val="en-US" w:eastAsia="zh-CN"/>
        </w:rPr>
        <w:t>厂</w:t>
      </w:r>
      <w:r>
        <w:rPr>
          <w:rFonts w:hint="eastAsia"/>
          <w:color w:val="auto"/>
          <w:szCs w:val="21"/>
        </w:rPr>
        <w:t>级、车间级、班组级安全教育培训，内容、学时不得少于国家或地方政府规定。</w:t>
      </w:r>
    </w:p>
    <w:p w14:paraId="5D653B3C">
      <w:pPr>
        <w:pStyle w:val="171"/>
        <w:ind w:left="0" w:hanging="10"/>
        <w:rPr>
          <w:color w:val="auto"/>
          <w:szCs w:val="21"/>
        </w:rPr>
      </w:pPr>
      <w:r>
        <w:rPr>
          <w:rFonts w:hint="eastAsia"/>
          <w:color w:val="auto"/>
          <w:szCs w:val="21"/>
        </w:rPr>
        <w:t>企业特种作业人员、特种设备</w:t>
      </w:r>
      <w:r>
        <w:rPr>
          <w:rFonts w:hint="eastAsia"/>
          <w:color w:val="auto"/>
          <w:szCs w:val="21"/>
          <w:highlight w:val="none"/>
        </w:rPr>
        <w:t>安全管理和作业人员</w:t>
      </w:r>
      <w:r>
        <w:rPr>
          <w:rFonts w:hint="eastAsia"/>
          <w:color w:val="auto"/>
          <w:szCs w:val="21"/>
        </w:rPr>
        <w:t>应按国家有关规定取得相应资格，方可上岗作业。</w:t>
      </w:r>
    </w:p>
    <w:p w14:paraId="2CC603F3">
      <w:pPr>
        <w:pStyle w:val="171"/>
        <w:ind w:left="0" w:hanging="10"/>
        <w:rPr>
          <w:color w:val="auto"/>
          <w:szCs w:val="21"/>
        </w:rPr>
      </w:pPr>
      <w:r>
        <w:rPr>
          <w:rFonts w:hint="eastAsia"/>
          <w:color w:val="auto"/>
          <w:szCs w:val="21"/>
        </w:rPr>
        <w:t>企业应在新工艺、新技术、新装置、新产品投产前，对相关的操作人员和管理人员进行专门培训，经考核合格后，方可上岗。</w:t>
      </w:r>
    </w:p>
    <w:p w14:paraId="32669DB2">
      <w:pPr>
        <w:pStyle w:val="171"/>
        <w:ind w:left="0" w:hanging="10"/>
        <w:rPr>
          <w:color w:val="auto"/>
          <w:szCs w:val="21"/>
        </w:rPr>
      </w:pPr>
      <w:r>
        <w:rPr>
          <w:rFonts w:hint="eastAsia"/>
          <w:color w:val="auto"/>
          <w:szCs w:val="21"/>
        </w:rPr>
        <w:t>企业应组织开展班组安全活动‌，提高员工的安全意识、技能和应急响应能力</w:t>
      </w:r>
      <w:r>
        <w:rPr>
          <w:rFonts w:hint="default"/>
          <w:color w:val="auto"/>
          <w:szCs w:val="21"/>
        </w:rPr>
        <w:t>。</w:t>
      </w:r>
    </w:p>
    <w:p w14:paraId="1E907EBC">
      <w:pPr>
        <w:pStyle w:val="79"/>
        <w:spacing w:before="160" w:after="160"/>
        <w:rPr>
          <w:color w:val="auto"/>
          <w:szCs w:val="21"/>
        </w:rPr>
      </w:pPr>
      <w:bookmarkStart w:id="604" w:name="_Toc25684"/>
      <w:bookmarkStart w:id="605" w:name="_Toc19945"/>
      <w:bookmarkStart w:id="606" w:name="_Toc19764"/>
      <w:bookmarkStart w:id="607" w:name="_Toc31748"/>
      <w:bookmarkStart w:id="608" w:name="_Toc13952"/>
      <w:bookmarkStart w:id="609" w:name="_Toc32741"/>
      <w:bookmarkStart w:id="610" w:name="_Toc11791"/>
      <w:bookmarkStart w:id="611" w:name="_Toc28773"/>
      <w:bookmarkStart w:id="612" w:name="_Toc7055"/>
      <w:bookmarkStart w:id="613" w:name="_Toc22760"/>
      <w:bookmarkStart w:id="614" w:name="_Toc16656"/>
      <w:bookmarkStart w:id="615" w:name="_Toc2082"/>
      <w:bookmarkStart w:id="616" w:name="_Toc25588"/>
      <w:bookmarkStart w:id="617" w:name="_Toc62826426"/>
      <w:bookmarkStart w:id="618" w:name="_Toc5399"/>
      <w:bookmarkStart w:id="619" w:name="_Toc29030"/>
      <w:bookmarkStart w:id="620" w:name="_Toc6742"/>
      <w:bookmarkStart w:id="621" w:name="_Toc3389"/>
      <w:bookmarkStart w:id="622" w:name="_Toc4298"/>
      <w:bookmarkStart w:id="623" w:name="_Toc9254"/>
      <w:bookmarkStart w:id="624" w:name="_Toc62828528"/>
      <w:bookmarkStart w:id="625" w:name="_Toc13297"/>
      <w:bookmarkStart w:id="626" w:name="_Toc3394"/>
      <w:bookmarkStart w:id="627" w:name="_Toc21011"/>
      <w:bookmarkStart w:id="628" w:name="_Toc18675"/>
      <w:bookmarkStart w:id="629" w:name="_Toc20017"/>
      <w:r>
        <w:rPr>
          <w:rFonts w:hint="eastAsia"/>
          <w:color w:val="auto"/>
          <w:szCs w:val="21"/>
        </w:rPr>
        <w:t>外来人员教育培训</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2A328650">
      <w:pPr>
        <w:pStyle w:val="171"/>
        <w:ind w:left="0" w:hanging="10" w:hangingChars="5"/>
        <w:textAlignment w:val="auto"/>
        <w:rPr>
          <w:color w:val="auto"/>
          <w:szCs w:val="21"/>
          <w:lang w:bidi="ar"/>
        </w:rPr>
      </w:pPr>
      <w:r>
        <w:rPr>
          <w:rFonts w:hint="eastAsia"/>
          <w:color w:val="auto"/>
          <w:szCs w:val="21"/>
          <w:lang w:bidi="ar"/>
        </w:rPr>
        <w:t>企业应对承包商人员进行入厂安全教育培训，经考核合格发放入厂证。承包商进入作业现场前，作业现场所在基层单位应对承包商作业人员进行进入现场前安全教育培训，并保存入厂及进入现场前的安全教育培训记录。</w:t>
      </w:r>
    </w:p>
    <w:p w14:paraId="66CA8C2F">
      <w:pPr>
        <w:pStyle w:val="171"/>
        <w:ind w:left="0" w:hanging="10" w:hangingChars="5"/>
        <w:textAlignment w:val="auto"/>
        <w:rPr>
          <w:color w:val="auto"/>
          <w:szCs w:val="21"/>
          <w:lang w:bidi="ar"/>
        </w:rPr>
      </w:pPr>
      <w:r>
        <w:rPr>
          <w:rFonts w:hint="default"/>
          <w:color w:val="auto"/>
          <w:szCs w:val="21"/>
          <w:highlight w:val="none"/>
        </w:rPr>
        <w:t>企业应将劳务派遣人员纳入企业从业人员统一进行管理，按照公司安全教育培训计划开展安全教育培训。</w:t>
      </w:r>
    </w:p>
    <w:p w14:paraId="797D9175">
      <w:pPr>
        <w:pStyle w:val="171"/>
        <w:ind w:left="10" w:hanging="10" w:hangingChars="5"/>
        <w:textAlignment w:val="center"/>
        <w:rPr>
          <w:color w:val="auto"/>
          <w:szCs w:val="21"/>
        </w:rPr>
      </w:pPr>
      <w:r>
        <w:rPr>
          <w:rFonts w:hint="eastAsia"/>
          <w:color w:val="auto"/>
          <w:szCs w:val="21"/>
        </w:rPr>
        <w:t>企业应对外来参观、学习、检查等人员进行有关安全管理规定及安全注意事项的教育培训。</w:t>
      </w:r>
    </w:p>
    <w:p w14:paraId="58B80F93">
      <w:pPr>
        <w:pStyle w:val="79"/>
        <w:spacing w:before="160" w:after="160"/>
        <w:rPr>
          <w:color w:val="auto"/>
          <w:szCs w:val="21"/>
        </w:rPr>
      </w:pPr>
      <w:bookmarkStart w:id="630" w:name="_Toc26802"/>
      <w:bookmarkStart w:id="631" w:name="_Toc17955"/>
      <w:bookmarkStart w:id="632" w:name="_Toc27435"/>
      <w:bookmarkStart w:id="633" w:name="_Toc2401"/>
      <w:r>
        <w:rPr>
          <w:rFonts w:hint="eastAsia"/>
          <w:color w:val="auto"/>
          <w:szCs w:val="21"/>
        </w:rPr>
        <w:t>培训考核与评估提升</w:t>
      </w:r>
      <w:bookmarkEnd w:id="630"/>
      <w:bookmarkEnd w:id="631"/>
      <w:bookmarkEnd w:id="632"/>
      <w:bookmarkEnd w:id="633"/>
    </w:p>
    <w:p w14:paraId="537BDBE1">
      <w:pPr>
        <w:pStyle w:val="171"/>
        <w:ind w:left="10" w:hanging="10" w:hangingChars="5"/>
        <w:textAlignment w:val="center"/>
        <w:rPr>
          <w:rFonts w:hint="eastAsia"/>
          <w:color w:val="auto"/>
          <w:szCs w:val="21"/>
        </w:rPr>
      </w:pPr>
      <w:r>
        <w:rPr>
          <w:rFonts w:hint="eastAsia"/>
          <w:color w:val="auto"/>
          <w:szCs w:val="21"/>
        </w:rPr>
        <w:t>企业应定期</w:t>
      </w:r>
      <w:r>
        <w:rPr>
          <w:rFonts w:hint="eastAsia"/>
          <w:color w:val="auto"/>
          <w:szCs w:val="21"/>
          <w:lang w:val="en-US" w:eastAsia="zh-CN"/>
        </w:rPr>
        <w:t>开展</w:t>
      </w:r>
      <w:r>
        <w:rPr>
          <w:rFonts w:hint="eastAsia"/>
          <w:color w:val="auto"/>
          <w:szCs w:val="21"/>
        </w:rPr>
        <w:t>从业人员履职能力评估，对不能胜任的从业人员进行再培训，对培训考核不合格者及时调整岗位。</w:t>
      </w:r>
    </w:p>
    <w:p w14:paraId="21CCD618">
      <w:pPr>
        <w:pStyle w:val="171"/>
        <w:ind w:left="10" w:hanging="10" w:hangingChars="5"/>
        <w:textAlignment w:val="center"/>
        <w:rPr>
          <w:color w:val="auto"/>
          <w:szCs w:val="21"/>
        </w:rPr>
      </w:pPr>
      <w:r>
        <w:rPr>
          <w:rFonts w:hint="eastAsia"/>
          <w:color w:val="auto"/>
          <w:szCs w:val="21"/>
        </w:rPr>
        <w:t>企业</w:t>
      </w:r>
      <w:r>
        <w:rPr>
          <w:rFonts w:hint="eastAsia"/>
          <w:color w:val="auto"/>
          <w:szCs w:val="21"/>
          <w:lang w:val="en-US" w:eastAsia="zh-CN"/>
        </w:rPr>
        <w:t>应采取</w:t>
      </w:r>
      <w:r>
        <w:rPr>
          <w:rFonts w:hint="eastAsia"/>
          <w:color w:val="auto"/>
          <w:szCs w:val="21"/>
          <w:highlight w:val="none"/>
        </w:rPr>
        <w:t>导师带徒、实训基地培训</w:t>
      </w:r>
      <w:r>
        <w:rPr>
          <w:rFonts w:hint="default"/>
          <w:color w:val="auto"/>
          <w:szCs w:val="21"/>
          <w:highlight w:val="none"/>
        </w:rPr>
        <w:t>、在职教育</w:t>
      </w:r>
      <w:r>
        <w:rPr>
          <w:rFonts w:hint="eastAsia"/>
          <w:color w:val="auto"/>
          <w:szCs w:val="21"/>
          <w:highlight w:val="none"/>
        </w:rPr>
        <w:t>等</w:t>
      </w:r>
      <w:r>
        <w:rPr>
          <w:rFonts w:hint="eastAsia"/>
          <w:color w:val="auto"/>
          <w:szCs w:val="21"/>
          <w:highlight w:val="none"/>
          <w:lang w:val="en-US" w:eastAsia="zh-CN"/>
        </w:rPr>
        <w:t>多种</w:t>
      </w:r>
      <w:r>
        <w:rPr>
          <w:rFonts w:hint="eastAsia"/>
          <w:color w:val="auto"/>
          <w:szCs w:val="21"/>
          <w:highlight w:val="none"/>
        </w:rPr>
        <w:t>方式</w:t>
      </w:r>
      <w:r>
        <w:rPr>
          <w:rFonts w:hint="eastAsia"/>
          <w:color w:val="auto"/>
          <w:szCs w:val="21"/>
        </w:rPr>
        <w:t>，提升从业人员的安全生产技能。</w:t>
      </w:r>
    </w:p>
    <w:p w14:paraId="33D8CDD3">
      <w:pPr>
        <w:pStyle w:val="79"/>
        <w:spacing w:before="160" w:after="160"/>
        <w:rPr>
          <w:color w:val="auto"/>
          <w:szCs w:val="21"/>
        </w:rPr>
      </w:pPr>
      <w:r>
        <w:rPr>
          <w:rFonts w:hint="eastAsia"/>
          <w:color w:val="auto"/>
          <w:szCs w:val="21"/>
          <w:lang w:val="en-US" w:eastAsia="zh-CN"/>
        </w:rPr>
        <w:t>培训空间建设</w:t>
      </w:r>
    </w:p>
    <w:p w14:paraId="701F803D">
      <w:pPr>
        <w:pStyle w:val="171"/>
        <w:ind w:left="10" w:hanging="10" w:hangingChars="5"/>
        <w:textAlignment w:val="center"/>
        <w:rPr>
          <w:rFonts w:hint="eastAsia"/>
          <w:color w:val="auto"/>
          <w:szCs w:val="21"/>
        </w:rPr>
      </w:pPr>
      <w:r>
        <w:rPr>
          <w:rFonts w:hint="eastAsia"/>
          <w:color w:val="auto"/>
          <w:szCs w:val="21"/>
          <w:lang w:val="en-US" w:eastAsia="zh-CN"/>
        </w:rPr>
        <w:t>规模以上</w:t>
      </w:r>
      <w:r>
        <w:rPr>
          <w:rFonts w:hint="eastAsia"/>
          <w:color w:val="auto"/>
          <w:szCs w:val="21"/>
        </w:rPr>
        <w:t>企业应</w:t>
      </w:r>
      <w:r>
        <w:rPr>
          <w:rFonts w:hint="eastAsia"/>
          <w:color w:val="auto"/>
          <w:szCs w:val="21"/>
          <w:lang w:val="en-US" w:eastAsia="zh-CN"/>
        </w:rPr>
        <w:t>策划、设计、建设并运营适合企业自身需求的安全培训空间。</w:t>
      </w:r>
    </w:p>
    <w:p w14:paraId="0DC0A655">
      <w:pPr>
        <w:pStyle w:val="171"/>
        <w:ind w:left="0"/>
        <w:textAlignment w:val="auto"/>
      </w:pPr>
      <w:r>
        <w:rPr>
          <w:rFonts w:hint="eastAsia"/>
          <w:color w:val="auto"/>
          <w:szCs w:val="21"/>
          <w:lang w:val="en-US" w:eastAsia="zh-CN"/>
        </w:rPr>
        <w:t>企业安全培训空间应具备满足企业安全培训需求的培训制度、课程体系、培训场所、线上平台、培训团队。</w:t>
      </w:r>
    </w:p>
    <w:p w14:paraId="1967C313">
      <w:pPr>
        <w:pStyle w:val="114"/>
        <w:spacing w:before="160" w:after="160"/>
        <w:rPr>
          <w:color w:val="auto"/>
          <w:szCs w:val="21"/>
        </w:rPr>
      </w:pPr>
      <w:bookmarkStart w:id="634" w:name="_Toc5584"/>
      <w:bookmarkStart w:id="635" w:name="_Toc13179"/>
      <w:bookmarkStart w:id="636" w:name="_Toc31419"/>
      <w:bookmarkStart w:id="637" w:name="_Toc20216"/>
      <w:bookmarkStart w:id="638" w:name="_Toc25714"/>
      <w:bookmarkStart w:id="639" w:name="_Toc29975"/>
      <w:bookmarkStart w:id="640" w:name="_Toc30496"/>
      <w:bookmarkStart w:id="641" w:name="_Toc3972"/>
      <w:bookmarkStart w:id="642" w:name="_Toc23007"/>
      <w:bookmarkStart w:id="643" w:name="_Toc13781"/>
      <w:bookmarkStart w:id="644" w:name="_Toc20285"/>
      <w:bookmarkStart w:id="645" w:name="_Toc10097"/>
      <w:bookmarkStart w:id="646" w:name="_Toc22194"/>
      <w:bookmarkStart w:id="647" w:name="_Toc28924"/>
      <w:bookmarkStart w:id="648" w:name="_Toc27763"/>
      <w:bookmarkStart w:id="649" w:name="_Toc22049"/>
      <w:bookmarkStart w:id="650" w:name="_Toc5438"/>
      <w:bookmarkStart w:id="651" w:name="_Toc62826433"/>
      <w:bookmarkStart w:id="652" w:name="_Toc744"/>
      <w:bookmarkStart w:id="653" w:name="_Toc27871"/>
      <w:bookmarkStart w:id="654" w:name="_Toc24534"/>
      <w:bookmarkStart w:id="655" w:name="_Toc17516"/>
      <w:bookmarkStart w:id="656" w:name="_Toc3166"/>
      <w:bookmarkStart w:id="657" w:name="_Toc10893"/>
      <w:bookmarkStart w:id="658" w:name="_Toc12472"/>
      <w:bookmarkStart w:id="659" w:name="_Toc62828529"/>
      <w:bookmarkStart w:id="660" w:name="_Toc76371379"/>
      <w:bookmarkStart w:id="661" w:name="_Toc37316466"/>
      <w:bookmarkStart w:id="662" w:name="_Toc62826427"/>
      <w:bookmarkStart w:id="663" w:name="_Toc76372539"/>
      <w:bookmarkStart w:id="664" w:name="_Toc38794320"/>
      <w:r>
        <w:rPr>
          <w:rFonts w:hint="eastAsia"/>
          <w:color w:val="auto"/>
          <w:szCs w:val="21"/>
          <w:highlight w:val="none"/>
        </w:rPr>
        <w:t>风险管理与双重预防机制建设</w:t>
      </w:r>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2D596E72">
      <w:pPr>
        <w:pStyle w:val="79"/>
        <w:spacing w:before="160" w:after="160"/>
        <w:rPr>
          <w:color w:val="auto"/>
          <w:szCs w:val="21"/>
        </w:rPr>
      </w:pPr>
      <w:bookmarkStart w:id="665" w:name="_Toc22811"/>
      <w:bookmarkStart w:id="666" w:name="_Toc15853"/>
      <w:bookmarkStart w:id="667" w:name="_Toc14423"/>
      <w:r>
        <w:rPr>
          <w:rFonts w:hint="eastAsia"/>
          <w:color w:val="auto"/>
          <w:szCs w:val="21"/>
          <w:lang w:val="en-US" w:eastAsia="zh-CN"/>
        </w:rPr>
        <w:t>风险识别与</w:t>
      </w:r>
      <w:bookmarkEnd w:id="665"/>
      <w:bookmarkEnd w:id="666"/>
      <w:r>
        <w:rPr>
          <w:rFonts w:hint="eastAsia"/>
          <w:color w:val="auto"/>
          <w:szCs w:val="21"/>
          <w:lang w:val="en-US" w:eastAsia="zh-CN"/>
        </w:rPr>
        <w:t>评估</w:t>
      </w:r>
      <w:bookmarkEnd w:id="667"/>
    </w:p>
    <w:p w14:paraId="4F2E9F58">
      <w:pPr>
        <w:pStyle w:val="171"/>
        <w:ind w:left="0" w:hanging="10"/>
        <w:rPr>
          <w:color w:val="auto"/>
          <w:szCs w:val="21"/>
        </w:rPr>
      </w:pPr>
      <w:r>
        <w:rPr>
          <w:rFonts w:hint="eastAsia"/>
          <w:color w:val="auto"/>
          <w:szCs w:val="21"/>
        </w:rPr>
        <w:t>企业应明确</w:t>
      </w:r>
      <w:r>
        <w:rPr>
          <w:rFonts w:hint="eastAsia"/>
          <w:color w:val="auto"/>
          <w:szCs w:val="21"/>
          <w:lang w:val="en-US" w:eastAsia="zh-CN"/>
        </w:rPr>
        <w:t>规定</w:t>
      </w:r>
      <w:r>
        <w:rPr>
          <w:rFonts w:hint="eastAsia"/>
          <w:color w:val="auto"/>
          <w:szCs w:val="21"/>
        </w:rPr>
        <w:t>安全风险管理的范围、频次及工作程序</w:t>
      </w:r>
      <w:r>
        <w:rPr>
          <w:rFonts w:hint="eastAsia"/>
          <w:color w:val="auto"/>
          <w:szCs w:val="21"/>
          <w:lang w:eastAsia="zh-CN"/>
        </w:rPr>
        <w:t>，</w:t>
      </w:r>
      <w:r>
        <w:rPr>
          <w:rFonts w:hint="eastAsia"/>
          <w:color w:val="auto"/>
          <w:szCs w:val="21"/>
          <w:lang w:val="en-US" w:eastAsia="zh-CN"/>
        </w:rPr>
        <w:t>确定</w:t>
      </w:r>
      <w:r>
        <w:rPr>
          <w:rFonts w:hint="eastAsia"/>
          <w:color w:val="auto"/>
          <w:szCs w:val="21"/>
        </w:rPr>
        <w:t>有关部门、人员的职责。</w:t>
      </w:r>
    </w:p>
    <w:p w14:paraId="4188DDC7">
      <w:pPr>
        <w:pStyle w:val="171"/>
        <w:ind w:left="0" w:hanging="10"/>
        <w:rPr>
          <w:color w:val="auto"/>
          <w:szCs w:val="21"/>
        </w:rPr>
      </w:pPr>
      <w:r>
        <w:rPr>
          <w:color w:val="auto"/>
          <w:szCs w:val="21"/>
          <w:highlight w:val="none"/>
        </w:rPr>
        <w:t>企业应组织专业小组，</w:t>
      </w:r>
      <w:r>
        <w:rPr>
          <w:rFonts w:hint="eastAsia"/>
          <w:color w:val="auto"/>
          <w:szCs w:val="21"/>
          <w:highlight w:val="none"/>
          <w:lang w:val="en-US" w:eastAsia="zh-CN"/>
        </w:rPr>
        <w:t>定期</w:t>
      </w:r>
      <w:r>
        <w:rPr>
          <w:color w:val="auto"/>
          <w:szCs w:val="21"/>
          <w:highlight w:val="none"/>
        </w:rPr>
        <w:t>全面识别各场景的安全风险。</w:t>
      </w:r>
    </w:p>
    <w:p w14:paraId="2AAE900D">
      <w:pPr>
        <w:pStyle w:val="171"/>
        <w:ind w:left="0" w:hanging="10"/>
        <w:rPr>
          <w:color w:val="auto"/>
          <w:szCs w:val="21"/>
        </w:rPr>
      </w:pPr>
      <w:r>
        <w:rPr>
          <w:rFonts w:hint="eastAsia"/>
          <w:color w:val="auto"/>
          <w:szCs w:val="21"/>
          <w:highlight w:val="none"/>
          <w:lang w:eastAsia="zh-CN"/>
        </w:rPr>
        <w:t>企业应</w:t>
      </w:r>
      <w:r>
        <w:rPr>
          <w:rFonts w:hint="default"/>
          <w:color w:val="auto"/>
          <w:szCs w:val="21"/>
          <w:highlight w:val="none"/>
          <w:lang w:eastAsia="zh-CN"/>
        </w:rPr>
        <w:t>参照</w:t>
      </w:r>
      <w:r>
        <w:rPr>
          <w:rFonts w:hint="eastAsia"/>
          <w:color w:val="auto"/>
          <w:szCs w:val="21"/>
          <w:highlight w:val="none"/>
          <w:lang w:eastAsia="zh-CN"/>
        </w:rPr>
        <w:t>国家和行业的安全风险控制基准要求，结合自身</w:t>
      </w:r>
      <w:r>
        <w:rPr>
          <w:rFonts w:hint="eastAsia"/>
          <w:color w:val="auto"/>
          <w:szCs w:val="21"/>
          <w:highlight w:val="none"/>
          <w:lang w:val="en-US" w:eastAsia="zh-CN"/>
        </w:rPr>
        <w:t>实际</w:t>
      </w:r>
      <w:r>
        <w:rPr>
          <w:rFonts w:hint="eastAsia"/>
          <w:color w:val="auto"/>
          <w:szCs w:val="21"/>
          <w:highlight w:val="none"/>
          <w:lang w:eastAsia="zh-CN"/>
        </w:rPr>
        <w:t>，制定可接受安全风险准则</w:t>
      </w:r>
      <w:r>
        <w:rPr>
          <w:rFonts w:hint="default"/>
          <w:color w:val="auto"/>
          <w:szCs w:val="21"/>
          <w:highlight w:val="none"/>
          <w:lang w:eastAsia="zh-CN"/>
        </w:rPr>
        <w:t>，不能低于国家和行业标准要求</w:t>
      </w:r>
      <w:r>
        <w:rPr>
          <w:rFonts w:hint="eastAsia"/>
          <w:color w:val="auto"/>
          <w:szCs w:val="21"/>
          <w:highlight w:val="none"/>
          <w:lang w:eastAsia="zh-CN"/>
        </w:rPr>
        <w:t>。</w:t>
      </w:r>
    </w:p>
    <w:p w14:paraId="125E60F7">
      <w:pPr>
        <w:pStyle w:val="171"/>
        <w:ind w:left="0" w:hanging="10"/>
        <w:rPr>
          <w:color w:val="auto"/>
          <w:szCs w:val="21"/>
        </w:rPr>
      </w:pPr>
      <w:r>
        <w:rPr>
          <w:rFonts w:hint="eastAsia"/>
          <w:color w:val="auto"/>
          <w:szCs w:val="21"/>
        </w:rPr>
        <w:t>企业应对辨识出的所有危险、有害因素进行</w:t>
      </w:r>
      <w:r>
        <w:rPr>
          <w:rFonts w:hint="eastAsia"/>
          <w:color w:val="auto"/>
          <w:szCs w:val="21"/>
          <w:lang w:eastAsia="zh-CN"/>
        </w:rPr>
        <w:t>安全风险</w:t>
      </w:r>
      <w:r>
        <w:rPr>
          <w:rFonts w:hint="eastAsia"/>
          <w:color w:val="auto"/>
          <w:szCs w:val="21"/>
          <w:lang w:val="en-US" w:eastAsia="zh-CN"/>
        </w:rPr>
        <w:t>评估</w:t>
      </w:r>
      <w:r>
        <w:rPr>
          <w:rFonts w:hint="eastAsia"/>
          <w:color w:val="auto"/>
          <w:szCs w:val="21"/>
        </w:rPr>
        <w:t>，建立不可接受</w:t>
      </w:r>
      <w:r>
        <w:rPr>
          <w:rFonts w:hint="eastAsia"/>
          <w:color w:val="auto"/>
          <w:szCs w:val="21"/>
          <w:lang w:eastAsia="zh-CN"/>
        </w:rPr>
        <w:t>安全风险</w:t>
      </w:r>
      <w:r>
        <w:rPr>
          <w:rFonts w:hint="eastAsia"/>
          <w:color w:val="auto"/>
          <w:szCs w:val="21"/>
        </w:rPr>
        <w:t>清单。</w:t>
      </w:r>
    </w:p>
    <w:p w14:paraId="42043141">
      <w:pPr>
        <w:pStyle w:val="79"/>
        <w:spacing w:before="160" w:after="160"/>
        <w:rPr>
          <w:color w:val="auto"/>
          <w:szCs w:val="21"/>
        </w:rPr>
      </w:pPr>
      <w:bookmarkStart w:id="668" w:name="_Toc12626"/>
      <w:bookmarkStart w:id="669" w:name="_Toc62826437"/>
      <w:bookmarkStart w:id="670" w:name="_Toc29605"/>
      <w:bookmarkStart w:id="671" w:name="_Toc62828539"/>
      <w:bookmarkStart w:id="672" w:name="_Toc12388"/>
      <w:bookmarkStart w:id="673" w:name="_Toc19803"/>
      <w:bookmarkStart w:id="674" w:name="_Toc30369"/>
      <w:bookmarkStart w:id="675" w:name="_Toc23337"/>
      <w:bookmarkStart w:id="676" w:name="_Toc13055"/>
      <w:bookmarkStart w:id="677" w:name="_Toc7743"/>
      <w:bookmarkStart w:id="678" w:name="_Toc28858"/>
      <w:bookmarkStart w:id="679" w:name="_Toc11736"/>
      <w:bookmarkStart w:id="680" w:name="_Toc12540"/>
      <w:bookmarkStart w:id="681" w:name="_Toc27264"/>
      <w:bookmarkStart w:id="682" w:name="_Toc19375"/>
      <w:bookmarkStart w:id="683" w:name="_Toc8757"/>
      <w:bookmarkStart w:id="684" w:name="_Toc11991"/>
      <w:bookmarkStart w:id="685" w:name="_Toc14491"/>
      <w:bookmarkStart w:id="686" w:name="_Toc13551"/>
      <w:bookmarkStart w:id="687" w:name="_Toc14539"/>
      <w:bookmarkStart w:id="688" w:name="_Toc8591"/>
      <w:bookmarkStart w:id="689" w:name="_Toc2968"/>
      <w:bookmarkStart w:id="690" w:name="_Toc18731"/>
      <w:bookmarkStart w:id="691" w:name="_Toc3633"/>
      <w:bookmarkStart w:id="692" w:name="_Toc15899"/>
      <w:bookmarkStart w:id="693" w:name="_Toc19161"/>
      <w:r>
        <w:rPr>
          <w:rFonts w:hint="eastAsia"/>
          <w:color w:val="auto"/>
          <w:szCs w:val="21"/>
        </w:rPr>
        <w:t>风险控制</w:t>
      </w:r>
      <w:bookmarkEnd w:id="668"/>
      <w:bookmarkEnd w:id="669"/>
      <w:bookmarkEnd w:id="670"/>
      <w:bookmarkEnd w:id="671"/>
      <w:bookmarkEnd w:id="672"/>
      <w:bookmarkEnd w:id="673"/>
      <w:bookmarkEnd w:id="674"/>
      <w:bookmarkEnd w:id="675"/>
      <w:bookmarkEnd w:id="676"/>
      <w:bookmarkEnd w:id="677"/>
      <w:r>
        <w:rPr>
          <w:rFonts w:hint="eastAsia"/>
          <w:color w:val="auto"/>
          <w:szCs w:val="21"/>
        </w:rPr>
        <w:t>与监测</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3690A32D">
      <w:pPr>
        <w:pStyle w:val="171"/>
        <w:ind w:left="0" w:hanging="10"/>
        <w:rPr>
          <w:color w:val="auto"/>
          <w:szCs w:val="21"/>
        </w:rPr>
      </w:pPr>
      <w:r>
        <w:rPr>
          <w:rFonts w:hint="eastAsia"/>
          <w:color w:val="auto"/>
          <w:szCs w:val="21"/>
        </w:rPr>
        <w:t>企业应根据安全风险评价结果，针对不可接受的安全风险，制定并落实安全风险管控措施，并对相关人员进行培训。</w:t>
      </w:r>
    </w:p>
    <w:p w14:paraId="08878234">
      <w:pPr>
        <w:pStyle w:val="171"/>
        <w:ind w:left="0" w:hanging="10"/>
        <w:rPr>
          <w:color w:val="auto"/>
          <w:szCs w:val="21"/>
        </w:rPr>
      </w:pPr>
      <w:r>
        <w:rPr>
          <w:rFonts w:hint="eastAsia"/>
          <w:color w:val="auto"/>
          <w:szCs w:val="21"/>
        </w:rPr>
        <w:t>企业应每天</w:t>
      </w:r>
      <w:bookmarkStart w:id="694" w:name="OLE_LINK5"/>
      <w:r>
        <w:rPr>
          <w:rFonts w:hint="eastAsia"/>
          <w:color w:val="auto"/>
          <w:szCs w:val="21"/>
          <w:lang w:val="en-US" w:eastAsia="zh-CN"/>
        </w:rPr>
        <w:t>进行</w:t>
      </w:r>
      <w:r>
        <w:rPr>
          <w:rFonts w:hint="eastAsia"/>
          <w:color w:val="auto"/>
          <w:szCs w:val="21"/>
        </w:rPr>
        <w:t>安全风险研判和公</w:t>
      </w:r>
      <w:bookmarkEnd w:id="694"/>
      <w:r>
        <w:rPr>
          <w:rFonts w:hint="eastAsia"/>
          <w:color w:val="auto"/>
          <w:szCs w:val="21"/>
        </w:rPr>
        <w:t>告</w:t>
      </w:r>
      <w:r>
        <w:rPr>
          <w:rFonts w:hint="eastAsia"/>
          <w:color w:val="auto"/>
          <w:szCs w:val="21"/>
          <w:highlight w:val="none"/>
          <w:lang w:val="en-US" w:eastAsia="zh-CN"/>
        </w:rPr>
        <w:t>，</w:t>
      </w:r>
      <w:r>
        <w:rPr>
          <w:rFonts w:hint="eastAsia"/>
          <w:color w:val="auto"/>
          <w:szCs w:val="21"/>
        </w:rPr>
        <w:t>由企业主要负责人承诺当日所有装置、罐区是否处于安全运行状态，安全风险是否得到有效管控，相关内容通过设置在企业主门岗显著位置的显示屏进行显示。</w:t>
      </w:r>
    </w:p>
    <w:p w14:paraId="3972706C">
      <w:pPr>
        <w:pStyle w:val="171"/>
        <w:ind w:left="0" w:hanging="10"/>
        <w:rPr>
          <w:color w:val="auto"/>
          <w:szCs w:val="21"/>
        </w:rPr>
      </w:pPr>
      <w:r>
        <w:rPr>
          <w:rFonts w:hint="eastAsia"/>
          <w:color w:val="auto"/>
          <w:szCs w:val="21"/>
        </w:rPr>
        <w:t>企业应每年对安全风险评价结果进行评审，检查安全风险控制措施的效果，确保安全风险受控。</w:t>
      </w:r>
    </w:p>
    <w:p w14:paraId="21F5AB39">
      <w:pPr>
        <w:pStyle w:val="171"/>
        <w:ind w:left="10" w:hanging="10"/>
        <w:rPr>
          <w:rFonts w:hint="eastAsia"/>
          <w:color w:val="auto"/>
          <w:szCs w:val="21"/>
          <w:highlight w:val="none"/>
        </w:rPr>
      </w:pPr>
      <w:r>
        <w:rPr>
          <w:rFonts w:hint="eastAsia" w:ascii="宋体" w:hAnsi="Times New Roman" w:eastAsia="宋体" w:cs="Times New Roman"/>
          <w:color w:val="auto"/>
          <w:szCs w:val="21"/>
          <w:highlight w:val="none"/>
        </w:rPr>
        <w:t>涉及重大危险源的企业应通过接入危险化学品安全风险监测预警系统的视频监控和重大危险源工艺参数、可燃气体/有毒有害气体泄漏检测报警参数等关键安全数据，</w:t>
      </w:r>
      <w:r>
        <w:rPr>
          <w:rFonts w:hint="eastAsia" w:ascii="宋体" w:hAnsi="Times New Roman" w:eastAsia="宋体" w:cs="Times New Roman"/>
          <w:color w:val="auto"/>
          <w:kern w:val="0"/>
          <w:sz w:val="21"/>
          <w:szCs w:val="21"/>
          <w:highlight w:val="none"/>
          <w:lang w:val="en-US" w:eastAsia="zh-CN" w:bidi="ar"/>
        </w:rPr>
        <w:t>对安全风险进行实时监测</w:t>
      </w:r>
      <w:r>
        <w:rPr>
          <w:rFonts w:hint="default" w:hAnsi="Times New Roman" w:cs="Times New Roman"/>
          <w:color w:val="auto"/>
          <w:kern w:val="0"/>
          <w:sz w:val="21"/>
          <w:szCs w:val="21"/>
          <w:highlight w:val="none"/>
          <w:lang w:eastAsia="zh-CN" w:bidi="ar"/>
        </w:rPr>
        <w:t>、实时预警</w:t>
      </w:r>
      <w:r>
        <w:rPr>
          <w:rFonts w:hint="eastAsia" w:ascii="宋体" w:hAnsi="Times New Roman" w:eastAsia="宋体" w:cs="Times New Roman"/>
          <w:color w:val="auto"/>
          <w:kern w:val="0"/>
          <w:sz w:val="21"/>
          <w:szCs w:val="21"/>
          <w:highlight w:val="none"/>
          <w:lang w:val="en-US" w:eastAsia="zh-CN" w:bidi="ar"/>
        </w:rPr>
        <w:t>，及时分析预警信息，</w:t>
      </w:r>
      <w:r>
        <w:rPr>
          <w:rFonts w:hint="default" w:hAnsi="Times New Roman" w:cs="Times New Roman"/>
          <w:color w:val="auto"/>
          <w:kern w:val="0"/>
          <w:sz w:val="21"/>
          <w:szCs w:val="21"/>
          <w:highlight w:val="none"/>
          <w:lang w:eastAsia="zh-CN" w:bidi="ar"/>
        </w:rPr>
        <w:t>开展</w:t>
      </w:r>
      <w:r>
        <w:rPr>
          <w:rFonts w:hint="eastAsia" w:ascii="宋体" w:hAnsi="Times New Roman" w:eastAsia="宋体" w:cs="Times New Roman"/>
          <w:color w:val="auto"/>
          <w:kern w:val="0"/>
          <w:sz w:val="21"/>
          <w:szCs w:val="21"/>
          <w:highlight w:val="none"/>
          <w:lang w:val="en-US" w:eastAsia="zh-CN" w:bidi="ar"/>
        </w:rPr>
        <w:t>分级处置。</w:t>
      </w:r>
    </w:p>
    <w:p w14:paraId="75EC7B68">
      <w:pPr>
        <w:pStyle w:val="79"/>
        <w:spacing w:before="160" w:after="160"/>
        <w:rPr>
          <w:color w:val="auto"/>
          <w:szCs w:val="21"/>
        </w:rPr>
      </w:pPr>
      <w:bookmarkStart w:id="695" w:name="_Toc3841"/>
      <w:bookmarkStart w:id="696" w:name="_Toc496"/>
      <w:bookmarkStart w:id="697" w:name="_Toc23935"/>
      <w:bookmarkStart w:id="698" w:name="_Toc18793"/>
      <w:bookmarkStart w:id="699" w:name="_Toc13443"/>
      <w:bookmarkStart w:id="700" w:name="_Toc62828541"/>
      <w:bookmarkStart w:id="701" w:name="_Toc17440"/>
      <w:bookmarkStart w:id="702" w:name="_Toc4184"/>
      <w:bookmarkStart w:id="703" w:name="_Toc29765"/>
      <w:bookmarkStart w:id="704" w:name="_Toc10913"/>
      <w:bookmarkStart w:id="705" w:name="_Toc18383"/>
      <w:bookmarkStart w:id="706" w:name="_Toc11158"/>
      <w:bookmarkStart w:id="707" w:name="_Toc10235"/>
      <w:bookmarkStart w:id="708" w:name="_Toc29051"/>
      <w:bookmarkStart w:id="709" w:name="_Toc31689"/>
      <w:bookmarkStart w:id="710" w:name="_Toc25129"/>
      <w:bookmarkStart w:id="711" w:name="_Toc18227"/>
      <w:bookmarkStart w:id="712" w:name="_Toc24706"/>
      <w:bookmarkStart w:id="713" w:name="_Toc10512"/>
      <w:bookmarkStart w:id="714" w:name="_Toc23578"/>
      <w:bookmarkStart w:id="715" w:name="_Toc18524"/>
      <w:bookmarkStart w:id="716" w:name="_Toc62826439"/>
      <w:bookmarkStart w:id="717" w:name="_Toc16000"/>
      <w:bookmarkStart w:id="718" w:name="_Toc19421"/>
      <w:bookmarkStart w:id="719" w:name="_Toc15872"/>
      <w:bookmarkStart w:id="720" w:name="_Toc7010"/>
      <w:r>
        <w:rPr>
          <w:rFonts w:hint="eastAsia"/>
          <w:color w:val="auto"/>
          <w:szCs w:val="21"/>
        </w:rPr>
        <w:t>双重预防机制建设</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4546B3DE">
      <w:pPr>
        <w:pStyle w:val="171"/>
        <w:ind w:left="0" w:hanging="10"/>
        <w:rPr>
          <w:color w:val="auto"/>
          <w:szCs w:val="21"/>
          <w:highlight w:val="none"/>
        </w:rPr>
      </w:pPr>
      <w:r>
        <w:rPr>
          <w:rFonts w:hint="eastAsia"/>
          <w:color w:val="auto"/>
          <w:szCs w:val="21"/>
        </w:rPr>
        <w:t>企业应依据相关法律法规、国家标准和行业规范，</w:t>
      </w:r>
      <w:r>
        <w:rPr>
          <w:rFonts w:hint="default"/>
          <w:color w:val="auto"/>
          <w:szCs w:val="21"/>
        </w:rPr>
        <w:t>结合企业实际，</w:t>
      </w:r>
      <w:r>
        <w:rPr>
          <w:rFonts w:hint="eastAsia"/>
          <w:color w:val="auto"/>
          <w:szCs w:val="21"/>
        </w:rPr>
        <w:t>组织建立</w:t>
      </w:r>
      <w:r>
        <w:rPr>
          <w:rFonts w:hint="default"/>
          <w:color w:val="auto"/>
          <w:szCs w:val="21"/>
        </w:rPr>
        <w:t>并落实</w:t>
      </w:r>
      <w:r>
        <w:rPr>
          <w:rFonts w:hint="eastAsia"/>
          <w:color w:val="auto"/>
          <w:szCs w:val="21"/>
        </w:rPr>
        <w:t>安全风险分级管控和隐患排查治理双</w:t>
      </w:r>
      <w:r>
        <w:rPr>
          <w:rFonts w:hint="eastAsia" w:hAnsi="Times New Roman" w:cs="Times New Roman"/>
          <w:color w:val="auto"/>
          <w:szCs w:val="21"/>
        </w:rPr>
        <w:t>重预防机制</w:t>
      </w:r>
      <w:r>
        <w:rPr>
          <w:rFonts w:hint="eastAsia" w:ascii="宋体" w:hAnsi="Times New Roman" w:eastAsia="宋体" w:cs="Times New Roman"/>
          <w:color w:val="auto"/>
          <w:szCs w:val="21"/>
        </w:rPr>
        <w:t>。</w:t>
      </w:r>
    </w:p>
    <w:p w14:paraId="00C36AC5">
      <w:pPr>
        <w:pStyle w:val="171"/>
        <w:ind w:left="0" w:hanging="10"/>
        <w:rPr>
          <w:rFonts w:hint="eastAsia"/>
          <w:color w:val="auto"/>
          <w:szCs w:val="21"/>
        </w:rPr>
      </w:pPr>
      <w:r>
        <w:rPr>
          <w:rFonts w:hint="eastAsia"/>
          <w:color w:val="auto"/>
          <w:szCs w:val="21"/>
        </w:rPr>
        <w:t>企业应按照“功能独立、大小适中、易于管理”的原则，选取生产装置、储存设施或场所作为安全风险分析对象</w:t>
      </w:r>
      <w:r>
        <w:rPr>
          <w:rFonts w:hint="eastAsia"/>
          <w:color w:val="auto"/>
          <w:szCs w:val="21"/>
          <w:lang w:eastAsia="zh-CN"/>
        </w:rPr>
        <w:t>，</w:t>
      </w:r>
      <w:r>
        <w:rPr>
          <w:rFonts w:hint="eastAsia"/>
          <w:color w:val="auto"/>
          <w:szCs w:val="21"/>
        </w:rPr>
        <w:t>根据生产工艺流程或设备设施布局，将安全风险分析对象分解为若干个相对独立的安全风险分析单元。</w:t>
      </w:r>
    </w:p>
    <w:p w14:paraId="02FE2F81">
      <w:pPr>
        <w:pStyle w:val="171"/>
        <w:ind w:left="0" w:hanging="10"/>
        <w:rPr>
          <w:rFonts w:hint="eastAsia"/>
          <w:color w:val="auto"/>
          <w:szCs w:val="21"/>
        </w:rPr>
      </w:pPr>
      <w:r>
        <w:rPr>
          <w:rFonts w:hint="eastAsia"/>
          <w:color w:val="auto"/>
          <w:szCs w:val="21"/>
        </w:rPr>
        <w:t>企业应根据安全风险</w:t>
      </w:r>
      <w:r>
        <w:rPr>
          <w:rFonts w:hint="default"/>
          <w:color w:val="auto"/>
          <w:szCs w:val="21"/>
        </w:rPr>
        <w:t>识别</w:t>
      </w:r>
      <w:r>
        <w:rPr>
          <w:rFonts w:hint="eastAsia"/>
          <w:color w:val="auto"/>
          <w:szCs w:val="21"/>
        </w:rPr>
        <w:t>结果，选择可能造成爆炸、火灾、中毒、窒息等</w:t>
      </w:r>
      <w:r>
        <w:rPr>
          <w:rFonts w:hint="eastAsia"/>
          <w:color w:val="auto"/>
          <w:szCs w:val="21"/>
          <w:highlight w:val="none"/>
        </w:rPr>
        <w:t>高后果的事件</w:t>
      </w:r>
      <w:r>
        <w:rPr>
          <w:rFonts w:hint="eastAsia"/>
          <w:color w:val="auto"/>
          <w:szCs w:val="21"/>
        </w:rPr>
        <w:t>作为重点管控的安全风险事件。</w:t>
      </w:r>
    </w:p>
    <w:p w14:paraId="0F977642">
      <w:pPr>
        <w:pStyle w:val="171"/>
        <w:ind w:left="0" w:hanging="10"/>
        <w:outlineLvl w:val="9"/>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Cs w:val="21"/>
          <w:highlight w:val="none"/>
        </w:rPr>
        <w:t>企业应</w:t>
      </w:r>
      <w:r>
        <w:rPr>
          <w:rFonts w:hint="default" w:hAnsi="Times New Roman" w:cs="Times New Roman"/>
          <w:color w:val="auto"/>
          <w:szCs w:val="21"/>
          <w:highlight w:val="none"/>
        </w:rPr>
        <w:t>按照分级管控原则，将安</w:t>
      </w:r>
      <w:r>
        <w:rPr>
          <w:rFonts w:hint="eastAsia" w:ascii="宋体" w:hAnsi="Times New Roman" w:eastAsia="宋体" w:cs="Times New Roman"/>
          <w:color w:val="auto"/>
          <w:szCs w:val="21"/>
          <w:highlight w:val="none"/>
        </w:rPr>
        <w:t>全风险事件</w:t>
      </w:r>
      <w:r>
        <w:rPr>
          <w:rFonts w:hint="default" w:hAnsi="Times New Roman" w:cs="Times New Roman"/>
          <w:color w:val="auto"/>
          <w:szCs w:val="21"/>
          <w:highlight w:val="none"/>
        </w:rPr>
        <w:t>对应的</w:t>
      </w:r>
      <w:r>
        <w:rPr>
          <w:rFonts w:hint="eastAsia" w:ascii="宋体" w:hAnsi="Times New Roman" w:eastAsia="宋体" w:cs="Times New Roman"/>
          <w:color w:val="auto"/>
          <w:szCs w:val="21"/>
          <w:highlight w:val="none"/>
        </w:rPr>
        <w:t>管控措施</w:t>
      </w:r>
      <w:r>
        <w:rPr>
          <w:rFonts w:hint="default" w:hAnsi="Times New Roman" w:cs="Times New Roman"/>
          <w:color w:val="auto"/>
          <w:szCs w:val="21"/>
          <w:highlight w:val="none"/>
        </w:rPr>
        <w:t>分解到</w:t>
      </w:r>
      <w:r>
        <w:rPr>
          <w:rFonts w:hint="eastAsia" w:ascii="宋体" w:hAnsi="Times New Roman" w:eastAsia="宋体" w:cs="Times New Roman"/>
          <w:color w:val="auto"/>
          <w:kern w:val="0"/>
          <w:sz w:val="21"/>
          <w:szCs w:val="21"/>
          <w:highlight w:val="none"/>
          <w:lang w:val="en-US" w:eastAsia="zh-CN" w:bidi="ar-SA"/>
        </w:rPr>
        <w:t>从主要负责人到基层操作人员等与安全生产相关的所有岗位人员</w:t>
      </w:r>
      <w:r>
        <w:rPr>
          <w:rFonts w:hint="default" w:ascii="宋体" w:hAnsi="Times New Roman" w:eastAsia="宋体" w:cs="Times New Roman"/>
          <w:color w:val="auto"/>
          <w:kern w:val="0"/>
          <w:sz w:val="21"/>
          <w:szCs w:val="21"/>
          <w:highlight w:val="none"/>
          <w:lang w:eastAsia="zh-CN" w:bidi="ar-SA"/>
        </w:rPr>
        <w:t>。</w:t>
      </w:r>
    </w:p>
    <w:p w14:paraId="57878309">
      <w:pPr>
        <w:pStyle w:val="171"/>
        <w:ind w:left="0" w:firstLine="0"/>
        <w:rPr>
          <w:rFonts w:hint="eastAsia"/>
          <w:color w:val="auto"/>
          <w:szCs w:val="21"/>
          <w:highlight w:val="none"/>
        </w:rPr>
      </w:pPr>
      <w:r>
        <w:rPr>
          <w:rFonts w:hint="eastAsia" w:ascii="宋体" w:hAnsi="Times New Roman" w:eastAsia="宋体" w:cs="Times New Roman"/>
          <w:color w:val="auto"/>
          <w:kern w:val="0"/>
          <w:sz w:val="21"/>
          <w:szCs w:val="21"/>
          <w:highlight w:val="none"/>
          <w:lang w:val="en-US" w:eastAsia="zh-CN" w:bidi="ar-SA"/>
        </w:rPr>
        <w:t>企业应将安全风险管控措施作为隐患排查的任务，明确隐患排查责任人、频次周期等</w:t>
      </w:r>
      <w:r>
        <w:rPr>
          <w:rFonts w:hint="default" w:hAnsi="Times New Roman" w:cs="Times New Roman"/>
          <w:color w:val="auto"/>
          <w:kern w:val="0"/>
          <w:sz w:val="21"/>
          <w:szCs w:val="21"/>
          <w:highlight w:val="none"/>
          <w:lang w:eastAsia="zh-CN" w:bidi="ar-SA"/>
        </w:rPr>
        <w:t>，通过日常巡检和专项隐患排查等落实管控措施有效性</w:t>
      </w:r>
      <w:r>
        <w:rPr>
          <w:rFonts w:hint="eastAsia" w:ascii="宋体" w:hAnsi="Times New Roman" w:eastAsia="宋体" w:cs="Times New Roman"/>
          <w:color w:val="auto"/>
          <w:kern w:val="0"/>
          <w:sz w:val="21"/>
          <w:szCs w:val="21"/>
          <w:highlight w:val="none"/>
          <w:lang w:val="en-US" w:eastAsia="zh-CN" w:bidi="ar-SA"/>
        </w:rPr>
        <w:t>。</w:t>
      </w:r>
      <w:r>
        <w:rPr>
          <w:rFonts w:hint="default" w:hAnsi="Times New Roman" w:cs="Times New Roman"/>
          <w:color w:val="auto"/>
          <w:szCs w:val="21"/>
          <w:highlight w:val="none"/>
        </w:rPr>
        <w:t>同时，</w:t>
      </w:r>
      <w:r>
        <w:rPr>
          <w:rFonts w:hint="default" w:ascii="Calibri" w:hAnsi="Calibri" w:eastAsia="宋体" w:cs="Times New Roman"/>
          <w:color w:val="auto"/>
          <w:kern w:val="2"/>
          <w:sz w:val="21"/>
          <w:szCs w:val="22"/>
          <w:lang w:eastAsia="zh-CN" w:bidi="ar"/>
        </w:rPr>
        <w:t>通过</w:t>
      </w:r>
      <w:r>
        <w:rPr>
          <w:rFonts w:hint="eastAsia" w:ascii="Calibri" w:hAnsi="Calibri" w:eastAsia="宋体" w:cs="Times New Roman"/>
          <w:color w:val="auto"/>
          <w:kern w:val="2"/>
          <w:sz w:val="21"/>
          <w:szCs w:val="22"/>
          <w:lang w:val="en-US" w:eastAsia="zh-CN" w:bidi="ar"/>
        </w:rPr>
        <w:t>综合性、专业性、季节性、重点时段及节假日前</w:t>
      </w:r>
      <w:r>
        <w:rPr>
          <w:rFonts w:hint="default" w:ascii="Calibri" w:hAnsi="Calibri" w:eastAsia="宋体" w:cs="Times New Roman"/>
          <w:color w:val="auto"/>
          <w:kern w:val="2"/>
          <w:sz w:val="21"/>
          <w:szCs w:val="22"/>
          <w:lang w:eastAsia="zh-CN" w:bidi="ar"/>
        </w:rPr>
        <w:t>等多种形式，开展其他层面的隐患排查</w:t>
      </w:r>
      <w:r>
        <w:rPr>
          <w:rFonts w:hint="eastAsia"/>
          <w:color w:val="auto"/>
          <w:szCs w:val="21"/>
          <w:highlight w:val="none"/>
        </w:rPr>
        <w:t>，</w:t>
      </w:r>
      <w:r>
        <w:rPr>
          <w:rFonts w:hint="default"/>
          <w:color w:val="auto"/>
          <w:szCs w:val="21"/>
          <w:highlight w:val="none"/>
        </w:rPr>
        <w:t>隐患排查内容、频次等应满足有关标准文件要求。</w:t>
      </w:r>
    </w:p>
    <w:p w14:paraId="15464C79">
      <w:pPr>
        <w:pStyle w:val="171"/>
        <w:ind w:left="0" w:firstLine="0"/>
        <w:rPr>
          <w:rFonts w:hint="eastAsia"/>
          <w:color w:val="auto"/>
          <w:szCs w:val="21"/>
          <w:highlight w:val="none"/>
        </w:rPr>
      </w:pPr>
      <w:r>
        <w:rPr>
          <w:rFonts w:hint="default"/>
          <w:color w:val="auto"/>
          <w:szCs w:val="21"/>
          <w:highlight w:val="none"/>
        </w:rPr>
        <w:t>企业应</w:t>
      </w:r>
      <w:r>
        <w:rPr>
          <w:rFonts w:hint="eastAsia"/>
          <w:color w:val="auto"/>
          <w:szCs w:val="21"/>
          <w:highlight w:val="none"/>
          <w:lang w:val="en-US" w:eastAsia="zh-CN"/>
        </w:rPr>
        <w:t>运用</w:t>
      </w:r>
      <w:r>
        <w:rPr>
          <w:rFonts w:hint="default"/>
          <w:color w:val="auto"/>
          <w:szCs w:val="21"/>
          <w:highlight w:val="none"/>
        </w:rPr>
        <w:t>移动终端开展隐患排查，</w:t>
      </w:r>
      <w:r>
        <w:rPr>
          <w:rFonts w:hint="eastAsia"/>
          <w:color w:val="auto"/>
          <w:szCs w:val="21"/>
          <w:highlight w:val="none"/>
        </w:rPr>
        <w:t>隐患排查发现的隐患应</w:t>
      </w:r>
      <w:r>
        <w:rPr>
          <w:rFonts w:hint="default"/>
          <w:color w:val="auto"/>
          <w:szCs w:val="21"/>
          <w:highlight w:val="none"/>
        </w:rPr>
        <w:t>实时上传到双重预防数字化系统，治理全过程实现在线闭环管理</w:t>
      </w:r>
      <w:r>
        <w:rPr>
          <w:rFonts w:hint="eastAsia"/>
          <w:color w:val="auto"/>
          <w:szCs w:val="21"/>
          <w:highlight w:val="none"/>
        </w:rPr>
        <w:t>。</w:t>
      </w:r>
    </w:p>
    <w:p w14:paraId="5983039B">
      <w:pPr>
        <w:pStyle w:val="171"/>
        <w:ind w:left="0" w:hanging="10"/>
        <w:rPr>
          <w:color w:val="auto"/>
          <w:szCs w:val="21"/>
        </w:rPr>
      </w:pPr>
      <w:r>
        <w:rPr>
          <w:rFonts w:hint="eastAsia"/>
          <w:color w:val="auto"/>
          <w:szCs w:val="21"/>
        </w:rPr>
        <w:t>企业应明确双重预防机制考核奖惩的标准、频次、方式方法等，定期考核兑现。</w:t>
      </w:r>
    </w:p>
    <w:bookmarkEnd w:id="659"/>
    <w:bookmarkEnd w:id="660"/>
    <w:bookmarkEnd w:id="661"/>
    <w:bookmarkEnd w:id="662"/>
    <w:bookmarkEnd w:id="663"/>
    <w:bookmarkEnd w:id="664"/>
    <w:p w14:paraId="772D75E5">
      <w:pPr>
        <w:pStyle w:val="114"/>
        <w:spacing w:before="160" w:after="160"/>
        <w:rPr>
          <w:color w:val="auto"/>
          <w:szCs w:val="21"/>
        </w:rPr>
      </w:pPr>
      <w:bookmarkStart w:id="721" w:name="_Toc23719"/>
      <w:bookmarkStart w:id="722" w:name="_Toc15288"/>
      <w:bookmarkStart w:id="723" w:name="_Toc17719"/>
      <w:bookmarkStart w:id="724" w:name="_Toc6409"/>
      <w:bookmarkStart w:id="725" w:name="_Toc28148"/>
      <w:bookmarkStart w:id="726" w:name="_Toc22768"/>
      <w:bookmarkStart w:id="727" w:name="_Toc2031"/>
      <w:bookmarkStart w:id="728" w:name="_Toc2251"/>
      <w:bookmarkStart w:id="729" w:name="_Toc16190"/>
      <w:bookmarkStart w:id="730" w:name="_Toc28550"/>
      <w:bookmarkStart w:id="731" w:name="_Toc5248"/>
      <w:bookmarkStart w:id="732" w:name="_Toc19897"/>
      <w:bookmarkStart w:id="733" w:name="_Toc31341"/>
      <w:bookmarkStart w:id="734" w:name="_Toc22703"/>
      <w:bookmarkStart w:id="735" w:name="_Toc19579"/>
      <w:bookmarkStart w:id="736" w:name="_Toc27537"/>
      <w:bookmarkStart w:id="737" w:name="_Toc32489"/>
      <w:bookmarkStart w:id="738" w:name="_Toc7340"/>
      <w:bookmarkStart w:id="739" w:name="_Toc11847"/>
      <w:bookmarkStart w:id="740" w:name="_Toc8576"/>
      <w:bookmarkStart w:id="741" w:name="_Toc9058"/>
      <w:bookmarkStart w:id="742" w:name="_Toc16637"/>
      <w:r>
        <w:rPr>
          <w:rFonts w:hint="eastAsia"/>
          <w:color w:val="auto"/>
          <w:szCs w:val="21"/>
          <w:highlight w:val="none"/>
        </w:rPr>
        <w:t>操作安全</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14:paraId="2E43A685">
      <w:pPr>
        <w:pStyle w:val="79"/>
        <w:spacing w:before="160" w:after="160"/>
        <w:rPr>
          <w:color w:val="auto"/>
          <w:szCs w:val="21"/>
        </w:rPr>
      </w:pPr>
      <w:bookmarkStart w:id="743" w:name="_Toc14210"/>
      <w:bookmarkStart w:id="744" w:name="_Toc7040"/>
      <w:bookmarkStart w:id="745" w:name="_Toc3196"/>
      <w:bookmarkStart w:id="746" w:name="_Toc701"/>
      <w:bookmarkStart w:id="747" w:name="_Toc30480"/>
      <w:bookmarkStart w:id="748" w:name="_Toc25278"/>
      <w:bookmarkStart w:id="749" w:name="_Toc13629"/>
      <w:bookmarkStart w:id="750" w:name="_Toc27143"/>
      <w:bookmarkStart w:id="751" w:name="_Toc25120"/>
      <w:bookmarkStart w:id="752" w:name="_Toc23041"/>
      <w:bookmarkStart w:id="753" w:name="_Toc11706"/>
      <w:bookmarkStart w:id="754" w:name="_Toc30335"/>
      <w:bookmarkStart w:id="755" w:name="_Toc3028"/>
      <w:bookmarkStart w:id="756" w:name="_Toc27844"/>
      <w:bookmarkStart w:id="757" w:name="_Toc30840"/>
      <w:bookmarkStart w:id="758" w:name="_Toc17124"/>
      <w:bookmarkStart w:id="759" w:name="_Toc29445"/>
      <w:bookmarkStart w:id="760" w:name="_Toc5083"/>
      <w:bookmarkStart w:id="761" w:name="_Toc17862"/>
      <w:bookmarkStart w:id="762" w:name="_Toc3672"/>
      <w:bookmarkStart w:id="763" w:name="_Toc24897"/>
      <w:bookmarkStart w:id="764" w:name="_Toc5571"/>
      <w:bookmarkStart w:id="765" w:name="_Toc14585"/>
      <w:bookmarkStart w:id="766" w:name="_Toc7943"/>
      <w:r>
        <w:rPr>
          <w:rFonts w:hint="eastAsia"/>
          <w:color w:val="auto"/>
          <w:szCs w:val="21"/>
        </w:rPr>
        <w:t>操作规程</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63DBC349">
      <w:pPr>
        <w:pStyle w:val="171"/>
        <w:ind w:left="0" w:hanging="10"/>
        <w:rPr>
          <w:color w:val="auto"/>
          <w:szCs w:val="21"/>
        </w:rPr>
      </w:pPr>
      <w:r>
        <w:rPr>
          <w:rFonts w:hint="eastAsia"/>
          <w:color w:val="auto"/>
          <w:szCs w:val="21"/>
        </w:rPr>
        <w:t>企业应对操作规程编制、审批、</w:t>
      </w:r>
      <w:r>
        <w:rPr>
          <w:rFonts w:hint="default"/>
          <w:color w:val="auto"/>
          <w:szCs w:val="21"/>
        </w:rPr>
        <w:t>发放、</w:t>
      </w:r>
      <w:r>
        <w:rPr>
          <w:rFonts w:hint="eastAsia"/>
          <w:color w:val="auto"/>
          <w:szCs w:val="21"/>
        </w:rPr>
        <w:t>使用、修订及废止等环节进行规范管理。</w:t>
      </w:r>
    </w:p>
    <w:p w14:paraId="0D142A4B">
      <w:pPr>
        <w:pStyle w:val="171"/>
        <w:ind w:left="0" w:hanging="10"/>
        <w:rPr>
          <w:color w:val="auto"/>
          <w:szCs w:val="21"/>
        </w:rPr>
      </w:pPr>
      <w:r>
        <w:rPr>
          <w:rFonts w:hint="eastAsia"/>
          <w:color w:val="auto"/>
          <w:szCs w:val="21"/>
        </w:rPr>
        <w:t>企业应根据国家、行业相关要求，结合</w:t>
      </w:r>
      <w:r>
        <w:rPr>
          <w:rFonts w:hint="eastAsia"/>
          <w:color w:val="auto"/>
          <w:szCs w:val="21"/>
          <w:lang w:eastAsia="zh-CN"/>
        </w:rPr>
        <w:t>本企业</w:t>
      </w:r>
      <w:r>
        <w:rPr>
          <w:rFonts w:hint="eastAsia"/>
          <w:color w:val="auto"/>
          <w:szCs w:val="21"/>
        </w:rPr>
        <w:t>生产工艺、技术、设备设施特点和原材料、辅助材料、产品</w:t>
      </w:r>
      <w:r>
        <w:rPr>
          <w:rStyle w:val="39"/>
          <w:rFonts w:hint="eastAsia" w:ascii="Calibri" w:hAnsi="Calibri"/>
          <w:color w:val="auto"/>
          <w:kern w:val="2"/>
        </w:rPr>
        <w:t>、</w:t>
      </w:r>
      <w:r>
        <w:rPr>
          <w:rFonts w:hint="eastAsia"/>
          <w:color w:val="auto"/>
          <w:szCs w:val="21"/>
        </w:rPr>
        <w:t>中间产品的危险性和安全风险</w:t>
      </w:r>
      <w:r>
        <w:rPr>
          <w:rFonts w:hint="eastAsia"/>
          <w:color w:val="auto"/>
          <w:szCs w:val="21"/>
          <w:lang w:val="en-US" w:eastAsia="zh-CN"/>
        </w:rPr>
        <w:t>评估</w:t>
      </w:r>
      <w:r>
        <w:rPr>
          <w:rFonts w:hint="eastAsia"/>
          <w:color w:val="auto"/>
          <w:szCs w:val="21"/>
        </w:rPr>
        <w:t>结果，编制操作规程</w:t>
      </w:r>
      <w:r>
        <w:rPr>
          <w:rFonts w:hint="default"/>
          <w:color w:val="auto"/>
          <w:szCs w:val="21"/>
        </w:rPr>
        <w:t>，并</w:t>
      </w:r>
      <w:r>
        <w:rPr>
          <w:rFonts w:hint="eastAsia"/>
          <w:color w:val="auto"/>
          <w:szCs w:val="21"/>
          <w:lang w:val="en-US" w:eastAsia="zh-CN"/>
        </w:rPr>
        <w:t>发放</w:t>
      </w:r>
      <w:r>
        <w:rPr>
          <w:rFonts w:hint="default"/>
          <w:color w:val="auto"/>
          <w:szCs w:val="21"/>
          <w:lang w:eastAsia="zh-CN"/>
        </w:rPr>
        <w:t>至相关岗位。</w:t>
      </w:r>
    </w:p>
    <w:p w14:paraId="4D23532B">
      <w:pPr>
        <w:pStyle w:val="171"/>
        <w:ind w:left="0" w:hanging="10"/>
        <w:rPr>
          <w:color w:val="auto"/>
          <w:szCs w:val="21"/>
        </w:rPr>
      </w:pPr>
      <w:r>
        <w:rPr>
          <w:rFonts w:hint="eastAsia"/>
          <w:color w:val="auto"/>
          <w:szCs w:val="21"/>
        </w:rPr>
        <w:t>企业应在新工艺、新技术、新装置、新产品投产或投用前，组织编制</w:t>
      </w:r>
      <w:r>
        <w:rPr>
          <w:rFonts w:hint="eastAsia"/>
          <w:color w:val="auto"/>
          <w:szCs w:val="21"/>
          <w:lang w:val="en-US" w:eastAsia="zh-CN"/>
        </w:rPr>
        <w:t>新的</w:t>
      </w:r>
      <w:r>
        <w:rPr>
          <w:rFonts w:hint="eastAsia"/>
          <w:color w:val="auto"/>
          <w:szCs w:val="21"/>
        </w:rPr>
        <w:t>操作规程。</w:t>
      </w:r>
    </w:p>
    <w:p w14:paraId="47C1DC3A">
      <w:pPr>
        <w:pStyle w:val="171"/>
        <w:ind w:left="0" w:hanging="10"/>
        <w:rPr>
          <w:color w:val="auto"/>
          <w:szCs w:val="21"/>
        </w:rPr>
      </w:pPr>
      <w:r>
        <w:rPr>
          <w:rFonts w:hint="eastAsia"/>
          <w:color w:val="auto"/>
          <w:szCs w:val="21"/>
        </w:rPr>
        <w:t>企业应</w:t>
      </w:r>
      <w:r>
        <w:rPr>
          <w:rFonts w:hint="eastAsia"/>
          <w:color w:val="auto"/>
          <w:szCs w:val="21"/>
          <w:lang w:val="en-US" w:eastAsia="zh-CN"/>
        </w:rPr>
        <w:t>至少每年</w:t>
      </w:r>
      <w:r>
        <w:rPr>
          <w:rFonts w:hint="eastAsia"/>
          <w:color w:val="auto"/>
          <w:szCs w:val="21"/>
        </w:rPr>
        <w:t>对操作规程的适应性和有效性进行</w:t>
      </w:r>
      <w:r>
        <w:rPr>
          <w:rFonts w:hint="eastAsia"/>
          <w:color w:val="auto"/>
          <w:szCs w:val="21"/>
          <w:highlight w:val="none"/>
        </w:rPr>
        <w:t>评审</w:t>
      </w:r>
      <w:r>
        <w:rPr>
          <w:rFonts w:hint="eastAsia"/>
          <w:color w:val="auto"/>
          <w:szCs w:val="21"/>
        </w:rPr>
        <w:t>，</w:t>
      </w:r>
      <w:r>
        <w:rPr>
          <w:rFonts w:hint="eastAsia"/>
          <w:color w:val="auto"/>
          <w:szCs w:val="21"/>
          <w:highlight w:val="none"/>
        </w:rPr>
        <w:t>至少每</w:t>
      </w:r>
      <w:r>
        <w:rPr>
          <w:rFonts w:hint="default"/>
          <w:color w:val="auto"/>
          <w:szCs w:val="21"/>
          <w:highlight w:val="none"/>
        </w:rPr>
        <w:t>三</w:t>
      </w:r>
      <w:r>
        <w:rPr>
          <w:rFonts w:hint="eastAsia"/>
          <w:color w:val="auto"/>
          <w:szCs w:val="21"/>
          <w:highlight w:val="none"/>
        </w:rPr>
        <w:t>年</w:t>
      </w:r>
      <w:r>
        <w:rPr>
          <w:rFonts w:hint="eastAsia"/>
          <w:color w:val="auto"/>
          <w:szCs w:val="21"/>
        </w:rPr>
        <w:t>组织相关管理人员、技术人员、操作人员和工会代表对操作规程进行修订，保证版本最新有效。</w:t>
      </w:r>
    </w:p>
    <w:p w14:paraId="0456C333">
      <w:pPr>
        <w:pStyle w:val="79"/>
        <w:spacing w:before="160" w:after="160"/>
        <w:rPr>
          <w:color w:val="auto"/>
          <w:szCs w:val="21"/>
        </w:rPr>
      </w:pPr>
      <w:bookmarkStart w:id="767" w:name="_Toc16851"/>
      <w:bookmarkStart w:id="768" w:name="_Toc25439"/>
      <w:bookmarkStart w:id="769" w:name="_Toc29692"/>
      <w:bookmarkStart w:id="770" w:name="_Toc28722"/>
      <w:bookmarkStart w:id="771" w:name="_Toc22989"/>
      <w:bookmarkStart w:id="772" w:name="_Toc26142"/>
      <w:bookmarkStart w:id="773" w:name="_Toc7922"/>
      <w:bookmarkStart w:id="774" w:name="_Toc29518"/>
      <w:bookmarkStart w:id="775" w:name="_Toc2550"/>
      <w:bookmarkStart w:id="776" w:name="_Toc5555"/>
      <w:bookmarkStart w:id="777" w:name="_Toc5551"/>
      <w:bookmarkStart w:id="778" w:name="_Toc25554"/>
      <w:bookmarkStart w:id="779" w:name="_Toc2287"/>
      <w:bookmarkStart w:id="780" w:name="_Toc26244"/>
      <w:bookmarkStart w:id="781" w:name="_Toc16652"/>
      <w:bookmarkStart w:id="782" w:name="_Toc28094"/>
      <w:bookmarkStart w:id="783" w:name="_Toc25457"/>
      <w:bookmarkStart w:id="784" w:name="_Toc32000"/>
      <w:bookmarkStart w:id="785" w:name="_Toc5727"/>
      <w:bookmarkStart w:id="786" w:name="_Toc7454"/>
      <w:bookmarkStart w:id="787" w:name="_Toc9744"/>
      <w:bookmarkStart w:id="788" w:name="_Toc24994"/>
      <w:bookmarkStart w:id="789" w:name="_Toc12210"/>
      <w:bookmarkStart w:id="790" w:name="_Toc755"/>
      <w:r>
        <w:rPr>
          <w:rFonts w:hint="eastAsia"/>
          <w:color w:val="auto"/>
          <w:szCs w:val="21"/>
        </w:rPr>
        <w:t>正常操作</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3A9685B6">
      <w:pPr>
        <w:pStyle w:val="171"/>
        <w:ind w:left="0" w:hanging="10"/>
        <w:rPr>
          <w:color w:val="auto"/>
          <w:szCs w:val="21"/>
        </w:rPr>
      </w:pPr>
      <w:r>
        <w:rPr>
          <w:rFonts w:hint="eastAsia"/>
          <w:color w:val="auto"/>
          <w:szCs w:val="21"/>
        </w:rPr>
        <w:t>企业应根据操作规程中确定的重要控制指标编制工艺卡片，准确反映实际操作要求。</w:t>
      </w:r>
    </w:p>
    <w:p w14:paraId="7163B09F">
      <w:pPr>
        <w:pStyle w:val="171"/>
        <w:ind w:left="0" w:hanging="10"/>
        <w:rPr>
          <w:color w:val="auto"/>
          <w:szCs w:val="21"/>
        </w:rPr>
      </w:pPr>
      <w:r>
        <w:rPr>
          <w:rFonts w:hint="eastAsia"/>
          <w:color w:val="auto"/>
          <w:szCs w:val="21"/>
        </w:rPr>
        <w:t>企业应明确岗位操作人员、专业技术人员的巡回检查要求，对生产装置、设备进行定时巡检，发现和处理生产中出现的隐患。</w:t>
      </w:r>
      <w:r>
        <w:rPr>
          <w:rFonts w:hint="eastAsia"/>
          <w:color w:val="auto"/>
          <w:szCs w:val="21"/>
          <w:lang w:val="en-US" w:eastAsia="zh-CN"/>
        </w:rPr>
        <w:t>鼓励企业采用巡检机器人等智能巡检方式</w:t>
      </w:r>
      <w:r>
        <w:rPr>
          <w:rFonts w:hint="default"/>
          <w:color w:val="auto"/>
          <w:szCs w:val="21"/>
          <w:lang w:eastAsia="zh-CN"/>
        </w:rPr>
        <w:t>开展巡检。</w:t>
      </w:r>
    </w:p>
    <w:p w14:paraId="64FCD5D0">
      <w:pPr>
        <w:pStyle w:val="171"/>
        <w:ind w:left="0" w:hanging="10"/>
        <w:rPr>
          <w:color w:val="auto"/>
          <w:szCs w:val="21"/>
        </w:rPr>
      </w:pPr>
      <w:r>
        <w:rPr>
          <w:rFonts w:hint="eastAsia"/>
          <w:color w:val="auto"/>
          <w:szCs w:val="21"/>
        </w:rPr>
        <w:t>企业应</w:t>
      </w:r>
      <w:r>
        <w:rPr>
          <w:rFonts w:hint="default"/>
          <w:color w:val="auto"/>
          <w:szCs w:val="21"/>
        </w:rPr>
        <w:t>对操作班组</w:t>
      </w:r>
      <w:r>
        <w:rPr>
          <w:rFonts w:hint="eastAsia"/>
          <w:color w:val="auto"/>
          <w:szCs w:val="21"/>
        </w:rPr>
        <w:t>交接班</w:t>
      </w:r>
      <w:r>
        <w:rPr>
          <w:rFonts w:hint="eastAsia"/>
          <w:color w:val="auto"/>
          <w:szCs w:val="21"/>
          <w:lang w:val="en-US" w:eastAsia="zh-CN"/>
        </w:rPr>
        <w:t>进行</w:t>
      </w:r>
      <w:r>
        <w:rPr>
          <w:rFonts w:hint="default"/>
          <w:color w:val="auto"/>
          <w:szCs w:val="21"/>
        </w:rPr>
        <w:t>规范</w:t>
      </w:r>
      <w:r>
        <w:rPr>
          <w:rFonts w:hint="eastAsia"/>
          <w:color w:val="auto"/>
          <w:szCs w:val="21"/>
        </w:rPr>
        <w:t>管理，将异常工况、现场作业、</w:t>
      </w:r>
      <w:r>
        <w:rPr>
          <w:rFonts w:hint="eastAsia"/>
          <w:color w:val="auto"/>
          <w:szCs w:val="21"/>
          <w:highlight w:val="none"/>
        </w:rPr>
        <w:t>需接续的工作</w:t>
      </w:r>
      <w:r>
        <w:rPr>
          <w:rFonts w:hint="default"/>
          <w:color w:val="auto"/>
          <w:szCs w:val="21"/>
          <w:highlight w:val="none"/>
        </w:rPr>
        <w:t>等</w:t>
      </w:r>
      <w:r>
        <w:rPr>
          <w:rFonts w:hint="eastAsia"/>
          <w:color w:val="auto"/>
          <w:szCs w:val="21"/>
          <w:highlight w:val="none"/>
        </w:rPr>
        <w:t>事项交接到位</w:t>
      </w:r>
      <w:r>
        <w:rPr>
          <w:rFonts w:hint="eastAsia"/>
          <w:color w:val="auto"/>
          <w:szCs w:val="21"/>
        </w:rPr>
        <w:t>。</w:t>
      </w:r>
    </w:p>
    <w:p w14:paraId="7A84FF72">
      <w:pPr>
        <w:pStyle w:val="79"/>
        <w:spacing w:before="160" w:after="160"/>
        <w:rPr>
          <w:color w:val="auto"/>
          <w:szCs w:val="21"/>
        </w:rPr>
      </w:pPr>
      <w:bookmarkStart w:id="791" w:name="_Toc2596"/>
      <w:bookmarkStart w:id="792" w:name="_Toc3815"/>
      <w:bookmarkStart w:id="793" w:name="_Toc28379"/>
      <w:bookmarkStart w:id="794" w:name="_Toc10324"/>
      <w:bookmarkStart w:id="795" w:name="_Toc21506"/>
      <w:bookmarkStart w:id="796" w:name="_Toc9105"/>
      <w:bookmarkStart w:id="797" w:name="_Toc26212"/>
      <w:bookmarkStart w:id="798" w:name="_Toc32009"/>
      <w:bookmarkStart w:id="799" w:name="_Toc27671"/>
      <w:bookmarkStart w:id="800" w:name="_Toc14453"/>
      <w:bookmarkStart w:id="801" w:name="_Toc31932"/>
      <w:bookmarkStart w:id="802" w:name="_Toc30471"/>
      <w:bookmarkStart w:id="803" w:name="_Toc32300"/>
      <w:bookmarkStart w:id="804" w:name="_Toc23903"/>
      <w:bookmarkStart w:id="805" w:name="_Toc27182"/>
      <w:bookmarkStart w:id="806" w:name="_Toc4432"/>
      <w:bookmarkStart w:id="807" w:name="_Toc26767"/>
      <w:bookmarkStart w:id="808" w:name="_Toc26733"/>
      <w:bookmarkStart w:id="809" w:name="_Toc30490"/>
      <w:bookmarkStart w:id="810" w:name="_Toc1274"/>
      <w:bookmarkStart w:id="811" w:name="_Toc32737"/>
      <w:bookmarkStart w:id="812" w:name="_Toc13429"/>
      <w:r>
        <w:rPr>
          <w:rFonts w:hint="eastAsia"/>
          <w:color w:val="auto"/>
          <w:szCs w:val="21"/>
        </w:rPr>
        <w:t>开停车安全管理</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5C3D1204">
      <w:pPr>
        <w:pStyle w:val="171"/>
        <w:ind w:left="0" w:hanging="10"/>
        <w:rPr>
          <w:color w:val="auto"/>
          <w:szCs w:val="21"/>
        </w:rPr>
      </w:pPr>
      <w:r>
        <w:rPr>
          <w:rFonts w:hint="eastAsia"/>
          <w:color w:val="auto"/>
          <w:szCs w:val="21"/>
        </w:rPr>
        <w:t>企业在生产装置开停车前，</w:t>
      </w:r>
      <w:r>
        <w:rPr>
          <w:rFonts w:hint="eastAsia"/>
          <w:color w:val="auto"/>
          <w:szCs w:val="21"/>
          <w:lang w:val="en-US" w:eastAsia="zh-CN"/>
        </w:rPr>
        <w:t>以</w:t>
      </w:r>
      <w:r>
        <w:rPr>
          <w:rFonts w:hint="eastAsia"/>
          <w:color w:val="auto"/>
          <w:szCs w:val="21"/>
        </w:rPr>
        <w:t>危险、有害因素辨识和</w:t>
      </w:r>
      <w:r>
        <w:rPr>
          <w:rFonts w:hint="eastAsia"/>
          <w:color w:val="auto"/>
          <w:szCs w:val="21"/>
          <w:lang w:eastAsia="zh-CN"/>
        </w:rPr>
        <w:t>安全风险</w:t>
      </w:r>
      <w:r>
        <w:rPr>
          <w:rFonts w:hint="eastAsia"/>
          <w:color w:val="auto"/>
          <w:szCs w:val="21"/>
        </w:rPr>
        <w:t>评估</w:t>
      </w:r>
      <w:r>
        <w:rPr>
          <w:rFonts w:hint="eastAsia"/>
          <w:color w:val="auto"/>
          <w:szCs w:val="21"/>
          <w:lang w:val="en-US" w:eastAsia="zh-CN"/>
        </w:rPr>
        <w:t>为基础</w:t>
      </w:r>
      <w:r>
        <w:rPr>
          <w:rFonts w:hint="eastAsia"/>
          <w:color w:val="auto"/>
          <w:szCs w:val="21"/>
        </w:rPr>
        <w:t>编制开停车方案。</w:t>
      </w:r>
    </w:p>
    <w:p w14:paraId="331E0146">
      <w:pPr>
        <w:pStyle w:val="171"/>
        <w:ind w:left="0" w:hanging="10"/>
        <w:rPr>
          <w:color w:val="auto"/>
          <w:szCs w:val="21"/>
        </w:rPr>
      </w:pPr>
      <w:r>
        <w:rPr>
          <w:rFonts w:hint="eastAsia"/>
          <w:color w:val="auto"/>
          <w:szCs w:val="21"/>
        </w:rPr>
        <w:t>企业应根据开停车方案，编制相应的安全条件确认表，并组织专业技术人员逐项确认，确保安全措施有效落实。</w:t>
      </w:r>
    </w:p>
    <w:p w14:paraId="6BADB646">
      <w:pPr>
        <w:pStyle w:val="171"/>
        <w:ind w:left="0" w:hanging="10"/>
        <w:rPr>
          <w:color w:val="auto"/>
          <w:szCs w:val="21"/>
        </w:rPr>
      </w:pPr>
      <w:r>
        <w:rPr>
          <w:rFonts w:hint="eastAsia"/>
          <w:color w:val="auto"/>
          <w:szCs w:val="21"/>
        </w:rPr>
        <w:t>企业应严格控制生产装置开停车过程中现场人员数量。</w:t>
      </w:r>
    </w:p>
    <w:p w14:paraId="23B3728E">
      <w:pPr>
        <w:pStyle w:val="79"/>
        <w:spacing w:before="160" w:after="160"/>
        <w:rPr>
          <w:color w:val="auto"/>
          <w:szCs w:val="21"/>
        </w:rPr>
      </w:pPr>
      <w:bookmarkStart w:id="813" w:name="_Toc14903"/>
      <w:bookmarkStart w:id="814" w:name="_Toc9303"/>
      <w:bookmarkStart w:id="815" w:name="_Toc6771"/>
      <w:bookmarkStart w:id="816" w:name="_Toc2934"/>
      <w:bookmarkStart w:id="817" w:name="_Toc4884"/>
      <w:bookmarkStart w:id="818" w:name="_Toc13227"/>
      <w:bookmarkStart w:id="819" w:name="_Toc1296"/>
      <w:bookmarkStart w:id="820" w:name="_Toc4990"/>
      <w:r>
        <w:rPr>
          <w:rFonts w:hint="eastAsia"/>
          <w:color w:val="auto"/>
          <w:szCs w:val="21"/>
        </w:rPr>
        <w:t>报警管理</w:t>
      </w:r>
      <w:bookmarkEnd w:id="813"/>
      <w:bookmarkEnd w:id="814"/>
      <w:bookmarkEnd w:id="815"/>
      <w:bookmarkEnd w:id="816"/>
      <w:bookmarkEnd w:id="817"/>
      <w:bookmarkEnd w:id="818"/>
      <w:bookmarkEnd w:id="819"/>
      <w:bookmarkEnd w:id="820"/>
    </w:p>
    <w:p w14:paraId="13B996AB">
      <w:pPr>
        <w:pStyle w:val="171"/>
        <w:ind w:left="0" w:hanging="10"/>
        <w:rPr>
          <w:rFonts w:hint="eastAsia"/>
          <w:color w:val="auto"/>
          <w:szCs w:val="21"/>
        </w:rPr>
      </w:pPr>
      <w:r>
        <w:rPr>
          <w:rFonts w:hint="eastAsia"/>
          <w:color w:val="auto"/>
          <w:szCs w:val="21"/>
        </w:rPr>
        <w:t>企业应建立报警设置原则，根据安全风险分析结果及工艺、设备的安全设计保护要求，确定需要设置的报警及参数。</w:t>
      </w:r>
    </w:p>
    <w:p w14:paraId="11F01325">
      <w:pPr>
        <w:pStyle w:val="171"/>
        <w:ind w:left="0" w:hanging="10"/>
        <w:rPr>
          <w:rFonts w:hint="eastAsia"/>
          <w:color w:val="auto"/>
          <w:szCs w:val="21"/>
        </w:rPr>
      </w:pPr>
      <w:r>
        <w:rPr>
          <w:rFonts w:hint="eastAsia"/>
          <w:color w:val="auto"/>
          <w:szCs w:val="21"/>
        </w:rPr>
        <w:t>企业应实施报警分级管理，根据报警后果严重性、允许的响应时间以及报警配置标准等确定报警优先级，明确关键报警和相应次序。</w:t>
      </w:r>
    </w:p>
    <w:p w14:paraId="08EDBF6D">
      <w:pPr>
        <w:pStyle w:val="171"/>
        <w:ind w:left="0" w:hanging="10"/>
        <w:rPr>
          <w:color w:val="auto"/>
          <w:szCs w:val="21"/>
        </w:rPr>
      </w:pPr>
      <w:r>
        <w:rPr>
          <w:rFonts w:hint="eastAsia"/>
          <w:color w:val="auto"/>
          <w:szCs w:val="21"/>
        </w:rPr>
        <w:t>报警处理完毕后，企业应对报警处置过程进行记录，并对报警原因进行分析，建立报警处置台账。</w:t>
      </w:r>
    </w:p>
    <w:p w14:paraId="01487C13">
      <w:pPr>
        <w:pStyle w:val="79"/>
        <w:spacing w:before="160" w:after="160"/>
        <w:rPr>
          <w:color w:val="auto"/>
          <w:szCs w:val="21"/>
        </w:rPr>
      </w:pPr>
      <w:bookmarkStart w:id="821" w:name="_Toc27345"/>
      <w:bookmarkStart w:id="822" w:name="_Toc8210"/>
      <w:bookmarkStart w:id="823" w:name="_Toc7860"/>
      <w:bookmarkStart w:id="824" w:name="_Toc1096"/>
      <w:bookmarkStart w:id="825" w:name="_Toc28343"/>
      <w:bookmarkStart w:id="826" w:name="_Toc32672"/>
      <w:bookmarkStart w:id="827" w:name="_Toc28001"/>
      <w:bookmarkStart w:id="828" w:name="_Toc1553"/>
      <w:bookmarkStart w:id="829" w:name="_Toc25417"/>
      <w:bookmarkStart w:id="830" w:name="_Toc27140"/>
      <w:bookmarkStart w:id="831" w:name="_Toc24170"/>
      <w:bookmarkStart w:id="832" w:name="_Toc27145"/>
      <w:bookmarkStart w:id="833" w:name="_Toc28426"/>
      <w:bookmarkStart w:id="834" w:name="_Toc20916"/>
      <w:bookmarkStart w:id="835" w:name="_Toc9030"/>
      <w:bookmarkStart w:id="836" w:name="_Toc16369"/>
      <w:bookmarkStart w:id="837" w:name="_Toc3289"/>
      <w:bookmarkStart w:id="838" w:name="_Toc18629"/>
      <w:bookmarkStart w:id="839" w:name="_Toc26133"/>
      <w:bookmarkStart w:id="840" w:name="_Toc29896"/>
      <w:bookmarkStart w:id="841" w:name="_Toc18412"/>
      <w:bookmarkStart w:id="842" w:name="_Toc24971"/>
      <w:r>
        <w:rPr>
          <w:rFonts w:hint="eastAsia"/>
          <w:color w:val="auto"/>
          <w:szCs w:val="21"/>
        </w:rPr>
        <w:t>异常工况处置</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14:paraId="50C63258">
      <w:pPr>
        <w:pStyle w:val="171"/>
        <w:ind w:left="0" w:hanging="10"/>
        <w:rPr>
          <w:rFonts w:hint="eastAsia"/>
          <w:color w:val="auto"/>
          <w:szCs w:val="21"/>
        </w:rPr>
      </w:pPr>
      <w:r>
        <w:rPr>
          <w:rFonts w:hint="eastAsia"/>
          <w:color w:val="auto"/>
          <w:szCs w:val="21"/>
        </w:rPr>
        <w:t>企业应</w:t>
      </w:r>
      <w:r>
        <w:rPr>
          <w:rFonts w:hint="eastAsia"/>
          <w:color w:val="auto"/>
          <w:szCs w:val="21"/>
          <w:lang w:val="en-US" w:eastAsia="zh-CN"/>
        </w:rPr>
        <w:t>全面</w:t>
      </w:r>
      <w:r>
        <w:rPr>
          <w:rFonts w:hint="eastAsia"/>
          <w:color w:val="auto"/>
          <w:szCs w:val="21"/>
        </w:rPr>
        <w:t>辨识各类异常工况情形，</w:t>
      </w:r>
      <w:r>
        <w:rPr>
          <w:rFonts w:hint="eastAsia"/>
          <w:color w:val="auto"/>
          <w:szCs w:val="21"/>
          <w:lang w:val="en-US" w:eastAsia="zh-CN"/>
        </w:rPr>
        <w:t>开展</w:t>
      </w:r>
      <w:r>
        <w:rPr>
          <w:rFonts w:hint="eastAsia"/>
          <w:color w:val="auto"/>
          <w:szCs w:val="21"/>
        </w:rPr>
        <w:t>安全风险评估，建立紧急处置程序。</w:t>
      </w:r>
    </w:p>
    <w:p w14:paraId="745D4627">
      <w:pPr>
        <w:pStyle w:val="171"/>
        <w:ind w:left="0" w:hanging="10"/>
        <w:rPr>
          <w:color w:val="auto"/>
          <w:szCs w:val="21"/>
        </w:rPr>
      </w:pPr>
      <w:r>
        <w:rPr>
          <w:rFonts w:hint="eastAsia"/>
          <w:color w:val="auto"/>
          <w:szCs w:val="21"/>
        </w:rPr>
        <w:t>企业应对异常工况下的应急</w:t>
      </w:r>
      <w:r>
        <w:rPr>
          <w:rFonts w:hint="eastAsia"/>
          <w:color w:val="auto"/>
          <w:szCs w:val="21"/>
          <w:lang w:val="en-US" w:eastAsia="zh-CN"/>
        </w:rPr>
        <w:t>处置</w:t>
      </w:r>
      <w:r>
        <w:rPr>
          <w:rFonts w:hint="eastAsia"/>
          <w:color w:val="auto"/>
          <w:szCs w:val="21"/>
        </w:rPr>
        <w:t>进行授权</w:t>
      </w:r>
      <w:r>
        <w:rPr>
          <w:rFonts w:hint="eastAsia"/>
          <w:color w:val="auto"/>
          <w:szCs w:val="21"/>
          <w:lang w:eastAsia="zh-CN"/>
        </w:rPr>
        <w:t>，</w:t>
      </w:r>
      <w:r>
        <w:rPr>
          <w:rFonts w:hint="eastAsia"/>
          <w:color w:val="auto"/>
          <w:szCs w:val="21"/>
        </w:rPr>
        <w:t>接到异常信息的人员应</w:t>
      </w:r>
      <w:r>
        <w:rPr>
          <w:rFonts w:hint="default"/>
          <w:color w:val="auto"/>
          <w:szCs w:val="21"/>
        </w:rPr>
        <w:t>及时</w:t>
      </w:r>
      <w:r>
        <w:rPr>
          <w:rFonts w:hint="eastAsia"/>
          <w:color w:val="auto"/>
          <w:szCs w:val="21"/>
          <w:lang w:val="en-US" w:eastAsia="zh-CN"/>
        </w:rPr>
        <w:t>进行处置，遵循以下原则：</w:t>
      </w:r>
    </w:p>
    <w:p w14:paraId="41CDF052">
      <w:pPr>
        <w:pStyle w:val="181"/>
        <w:numPr>
          <w:ilvl w:val="0"/>
          <w:numId w:val="37"/>
        </w:numPr>
        <w:tabs>
          <w:tab w:val="left" w:pos="840"/>
          <w:tab w:val="clear" w:pos="397"/>
          <w:tab w:val="clear" w:pos="851"/>
        </w:tabs>
        <w:rPr>
          <w:color w:val="auto"/>
          <w:szCs w:val="21"/>
          <w:highlight w:val="none"/>
        </w:rPr>
      </w:pPr>
      <w:r>
        <w:rPr>
          <w:rFonts w:hint="eastAsia"/>
          <w:color w:val="auto"/>
          <w:szCs w:val="21"/>
          <w:highlight w:val="none"/>
          <w:lang w:val="en-US" w:eastAsia="zh-CN"/>
        </w:rPr>
        <w:t>按紧急处置程序及时退守到安全状态；</w:t>
      </w:r>
    </w:p>
    <w:p w14:paraId="18E1D722">
      <w:pPr>
        <w:pStyle w:val="181"/>
        <w:numPr>
          <w:ilvl w:val="0"/>
          <w:numId w:val="37"/>
        </w:numPr>
        <w:tabs>
          <w:tab w:val="left" w:pos="840"/>
          <w:tab w:val="clear" w:pos="397"/>
          <w:tab w:val="clear" w:pos="851"/>
        </w:tabs>
        <w:rPr>
          <w:color w:val="auto"/>
          <w:szCs w:val="21"/>
          <w:highlight w:val="none"/>
        </w:rPr>
      </w:pPr>
      <w:r>
        <w:rPr>
          <w:rFonts w:hint="eastAsia"/>
          <w:color w:val="auto"/>
          <w:szCs w:val="21"/>
          <w:highlight w:val="none"/>
          <w:lang w:eastAsia="zh-CN"/>
        </w:rPr>
        <w:t>处置过程中应严格管控现场人员数量</w:t>
      </w:r>
      <w:r>
        <w:rPr>
          <w:rFonts w:hint="eastAsia"/>
          <w:color w:val="auto"/>
          <w:szCs w:val="21"/>
          <w:highlight w:val="none"/>
        </w:rPr>
        <w:t>；</w:t>
      </w:r>
    </w:p>
    <w:p w14:paraId="58673065">
      <w:pPr>
        <w:pStyle w:val="181"/>
        <w:numPr>
          <w:ilvl w:val="0"/>
          <w:numId w:val="37"/>
        </w:numPr>
        <w:tabs>
          <w:tab w:val="left" w:pos="840"/>
          <w:tab w:val="clear" w:pos="397"/>
          <w:tab w:val="clear" w:pos="851"/>
        </w:tabs>
        <w:rPr>
          <w:color w:val="auto"/>
          <w:szCs w:val="21"/>
          <w:highlight w:val="none"/>
        </w:rPr>
      </w:pPr>
      <w:r>
        <w:rPr>
          <w:rFonts w:hint="eastAsia"/>
          <w:color w:val="auto"/>
          <w:szCs w:val="21"/>
          <w:highlight w:val="none"/>
          <w:lang w:eastAsia="zh-CN"/>
        </w:rPr>
        <w:t>处置前应制定落实有效管控措施</w:t>
      </w:r>
      <w:r>
        <w:rPr>
          <w:rFonts w:hint="eastAsia"/>
          <w:color w:val="auto"/>
          <w:szCs w:val="21"/>
          <w:highlight w:val="none"/>
        </w:rPr>
        <w:t>；</w:t>
      </w:r>
    </w:p>
    <w:p w14:paraId="4C09F220">
      <w:pPr>
        <w:pStyle w:val="181"/>
        <w:numPr>
          <w:ilvl w:val="0"/>
          <w:numId w:val="37"/>
        </w:numPr>
        <w:tabs>
          <w:tab w:val="left" w:pos="840"/>
          <w:tab w:val="clear" w:pos="397"/>
          <w:tab w:val="clear" w:pos="851"/>
        </w:tabs>
        <w:rPr>
          <w:color w:val="auto"/>
          <w:szCs w:val="21"/>
          <w:highlight w:val="none"/>
        </w:rPr>
      </w:pPr>
      <w:r>
        <w:rPr>
          <w:rFonts w:hint="eastAsia"/>
          <w:color w:val="auto"/>
          <w:szCs w:val="21"/>
          <w:highlight w:val="none"/>
          <w:lang w:eastAsia="zh-CN"/>
        </w:rPr>
        <w:t>置作业过程中应将拆装部位与运行系统有效物理隔离；</w:t>
      </w:r>
    </w:p>
    <w:p w14:paraId="15333F6B">
      <w:pPr>
        <w:pStyle w:val="181"/>
        <w:numPr>
          <w:ilvl w:val="0"/>
          <w:numId w:val="37"/>
        </w:numPr>
        <w:tabs>
          <w:tab w:val="left" w:pos="840"/>
          <w:tab w:val="clear" w:pos="397"/>
        </w:tabs>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lang w:eastAsia="zh-CN"/>
        </w:rPr>
        <w:t>异常工况处置应综合考虑装置内外部影响，</w:t>
      </w:r>
      <w:r>
        <w:rPr>
          <w:rFonts w:hint="default" w:ascii="宋体" w:hAnsi="Times New Roman" w:eastAsia="宋体" w:cs="Times New Roman"/>
          <w:color w:val="auto"/>
          <w:szCs w:val="21"/>
          <w:highlight w:val="none"/>
          <w:lang w:eastAsia="zh-CN"/>
        </w:rPr>
        <w:t>有</w:t>
      </w:r>
      <w:r>
        <w:rPr>
          <w:rFonts w:hint="eastAsia" w:ascii="宋体" w:hAnsi="Times New Roman" w:eastAsia="宋体" w:cs="Times New Roman"/>
          <w:color w:val="auto"/>
          <w:szCs w:val="21"/>
          <w:highlight w:val="none"/>
          <w:lang w:eastAsia="zh-CN"/>
        </w:rPr>
        <w:t>序处置</w:t>
      </w:r>
      <w:r>
        <w:rPr>
          <w:rFonts w:hint="eastAsia" w:ascii="宋体" w:hAnsi="Times New Roman" w:eastAsia="宋体" w:cs="Times New Roman"/>
          <w:color w:val="auto"/>
          <w:szCs w:val="21"/>
          <w:highlight w:val="none"/>
        </w:rPr>
        <w:t>。</w:t>
      </w:r>
    </w:p>
    <w:p w14:paraId="1F03B59C">
      <w:pPr>
        <w:pStyle w:val="171"/>
        <w:ind w:left="0" w:hanging="10"/>
        <w:rPr>
          <w:color w:val="auto"/>
          <w:szCs w:val="21"/>
        </w:rPr>
      </w:pPr>
      <w:r>
        <w:rPr>
          <w:rFonts w:hint="eastAsia"/>
          <w:color w:val="auto"/>
          <w:szCs w:val="21"/>
        </w:rPr>
        <w:t>企业</w:t>
      </w:r>
      <w:r>
        <w:rPr>
          <w:rFonts w:hint="eastAsia"/>
          <w:color w:val="auto"/>
          <w:szCs w:val="21"/>
          <w:lang w:val="en-US" w:eastAsia="zh-CN"/>
        </w:rPr>
        <w:t>在</w:t>
      </w:r>
      <w:r>
        <w:rPr>
          <w:rFonts w:hint="eastAsia"/>
          <w:color w:val="auto"/>
          <w:szCs w:val="21"/>
        </w:rPr>
        <w:t>异常工况处置结束后，应进行溯源分析，完善工艺指标、操作规程、应急预案等相关内容。</w:t>
      </w:r>
    </w:p>
    <w:p w14:paraId="264CDA19">
      <w:pPr>
        <w:pStyle w:val="79"/>
        <w:spacing w:before="160" w:after="160"/>
        <w:rPr>
          <w:color w:val="auto"/>
          <w:szCs w:val="21"/>
        </w:rPr>
      </w:pPr>
      <w:bookmarkStart w:id="843" w:name="_Toc13097"/>
      <w:bookmarkStart w:id="844" w:name="_Toc31624"/>
      <w:bookmarkStart w:id="845" w:name="_Toc17634"/>
      <w:bookmarkStart w:id="846" w:name="_Toc9097"/>
      <w:r>
        <w:rPr>
          <w:rFonts w:hint="eastAsia"/>
          <w:color w:val="auto"/>
          <w:szCs w:val="21"/>
        </w:rPr>
        <w:t>现场规范化管理</w:t>
      </w:r>
      <w:bookmarkEnd w:id="843"/>
      <w:bookmarkEnd w:id="844"/>
      <w:bookmarkEnd w:id="845"/>
      <w:bookmarkEnd w:id="846"/>
    </w:p>
    <w:p w14:paraId="5FF6AC81">
      <w:pPr>
        <w:pStyle w:val="171"/>
        <w:ind w:left="0" w:hanging="10"/>
        <w:rPr>
          <w:rFonts w:hint="eastAsia"/>
          <w:color w:val="auto"/>
          <w:szCs w:val="21"/>
          <w:highlight w:val="none"/>
        </w:rPr>
      </w:pPr>
      <w:r>
        <w:rPr>
          <w:rFonts w:hint="eastAsia"/>
          <w:color w:val="auto"/>
          <w:szCs w:val="21"/>
          <w:highlight w:val="none"/>
        </w:rPr>
        <w:t>企业应对</w:t>
      </w:r>
      <w:r>
        <w:rPr>
          <w:rFonts w:hint="default"/>
          <w:color w:val="auto"/>
          <w:szCs w:val="21"/>
          <w:highlight w:val="none"/>
        </w:rPr>
        <w:t>现场安全标识</w:t>
      </w:r>
      <w:r>
        <w:rPr>
          <w:rFonts w:hint="eastAsia" w:ascii="宋体" w:hAnsi="宋体" w:cs="宋体"/>
          <w:color w:val="auto"/>
          <w:spacing w:val="-6"/>
          <w:kern w:val="2"/>
          <w:sz w:val="22"/>
          <w:szCs w:val="22"/>
          <w:highlight w:val="none"/>
          <w:lang w:bidi="ar-SA"/>
        </w:rPr>
        <w:t>、工器具、消防器材、检维修作业现场等实施定置</w:t>
      </w:r>
      <w:r>
        <w:rPr>
          <w:rFonts w:hint="eastAsia" w:hAnsi="宋体" w:cs="宋体"/>
          <w:color w:val="auto"/>
          <w:spacing w:val="-6"/>
          <w:kern w:val="2"/>
          <w:sz w:val="22"/>
          <w:szCs w:val="22"/>
          <w:highlight w:val="none"/>
          <w:lang w:val="en-US" w:eastAsia="zh-CN" w:bidi="ar-SA"/>
        </w:rPr>
        <w:t>规范</w:t>
      </w:r>
      <w:r>
        <w:rPr>
          <w:rFonts w:hint="eastAsia" w:ascii="宋体" w:hAnsi="宋体" w:cs="宋体"/>
          <w:color w:val="auto"/>
          <w:spacing w:val="-6"/>
          <w:kern w:val="2"/>
          <w:sz w:val="22"/>
          <w:szCs w:val="22"/>
          <w:highlight w:val="none"/>
          <w:lang w:bidi="ar-SA"/>
        </w:rPr>
        <w:t>管理</w:t>
      </w:r>
      <w:r>
        <w:rPr>
          <w:rFonts w:hint="eastAsia" w:hAnsi="宋体" w:cs="宋体"/>
          <w:color w:val="auto"/>
          <w:spacing w:val="-6"/>
          <w:kern w:val="2"/>
          <w:sz w:val="22"/>
          <w:szCs w:val="22"/>
          <w:highlight w:val="none"/>
          <w:lang w:eastAsia="zh-CN" w:bidi="ar-SA"/>
        </w:rPr>
        <w:t>。</w:t>
      </w:r>
    </w:p>
    <w:p w14:paraId="10107EFE">
      <w:pPr>
        <w:pStyle w:val="171"/>
        <w:ind w:left="0" w:hanging="10"/>
        <w:rPr>
          <w:rFonts w:hint="eastAsia"/>
          <w:color w:val="auto"/>
          <w:szCs w:val="21"/>
          <w:highlight w:val="none"/>
        </w:rPr>
      </w:pPr>
      <w:r>
        <w:rPr>
          <w:rFonts w:hint="eastAsia"/>
          <w:color w:val="auto"/>
          <w:szCs w:val="21"/>
          <w:highlight w:val="none"/>
        </w:rPr>
        <w:t>企业应按照</w:t>
      </w:r>
      <w:r>
        <w:rPr>
          <w:rFonts w:hint="eastAsia"/>
          <w:color w:val="auto"/>
          <w:szCs w:val="21"/>
          <w:highlight w:val="none"/>
          <w:lang w:val="en-US" w:eastAsia="zh-CN"/>
        </w:rPr>
        <w:t>国家法律法规和标准</w:t>
      </w:r>
      <w:r>
        <w:rPr>
          <w:rFonts w:hint="eastAsia"/>
          <w:color w:val="auto"/>
          <w:szCs w:val="21"/>
          <w:highlight w:val="none"/>
        </w:rPr>
        <w:t>规定，在生产现场设置安全标识</w:t>
      </w:r>
      <w:r>
        <w:rPr>
          <w:rFonts w:hint="eastAsia"/>
          <w:color w:val="auto"/>
          <w:szCs w:val="21"/>
          <w:highlight w:val="none"/>
          <w:lang w:eastAsia="zh-CN"/>
        </w:rPr>
        <w:t>、</w:t>
      </w:r>
      <w:r>
        <w:rPr>
          <w:rFonts w:hint="eastAsia"/>
          <w:color w:val="auto"/>
          <w:szCs w:val="21"/>
          <w:highlight w:val="none"/>
        </w:rPr>
        <w:t>工艺设备标识。</w:t>
      </w:r>
    </w:p>
    <w:p w14:paraId="553532CB">
      <w:pPr>
        <w:pStyle w:val="171"/>
        <w:ind w:left="0" w:hanging="10"/>
        <w:rPr>
          <w:rFonts w:hint="eastAsia"/>
          <w:color w:val="auto"/>
          <w:szCs w:val="21"/>
        </w:rPr>
      </w:pPr>
      <w:r>
        <w:rPr>
          <w:rFonts w:hint="eastAsia"/>
          <w:color w:val="auto"/>
          <w:szCs w:val="21"/>
        </w:rPr>
        <w:t>企业</w:t>
      </w:r>
      <w:r>
        <w:rPr>
          <w:rFonts w:hint="eastAsia"/>
          <w:color w:val="auto"/>
          <w:szCs w:val="21"/>
          <w:lang w:val="en-US" w:eastAsia="zh-CN"/>
        </w:rPr>
        <w:t>应保持</w:t>
      </w:r>
      <w:r>
        <w:rPr>
          <w:rFonts w:hint="eastAsia"/>
          <w:color w:val="auto"/>
          <w:szCs w:val="21"/>
        </w:rPr>
        <w:t>生产装置内应急通道畅通，保证人员紧急撤离和消防车辆通行。</w:t>
      </w:r>
    </w:p>
    <w:bookmarkEnd w:id="34"/>
    <w:bookmarkEnd w:id="390"/>
    <w:bookmarkEnd w:id="391"/>
    <w:bookmarkEnd w:id="392"/>
    <w:bookmarkEnd w:id="393"/>
    <w:bookmarkEnd w:id="394"/>
    <w:p w14:paraId="1181B965">
      <w:pPr>
        <w:pStyle w:val="114"/>
        <w:spacing w:before="160" w:after="160"/>
        <w:rPr>
          <w:color w:val="auto"/>
          <w:szCs w:val="21"/>
        </w:rPr>
      </w:pPr>
      <w:bookmarkStart w:id="847" w:name="_Toc5127"/>
      <w:bookmarkStart w:id="848" w:name="_Toc21923"/>
      <w:bookmarkStart w:id="849" w:name="_Toc28919"/>
      <w:bookmarkStart w:id="850" w:name="_Toc15210"/>
      <w:bookmarkStart w:id="851" w:name="_Toc28609"/>
      <w:bookmarkStart w:id="852" w:name="_Toc30993"/>
      <w:bookmarkStart w:id="853" w:name="_Toc22672"/>
      <w:bookmarkStart w:id="854" w:name="_Toc24531"/>
      <w:bookmarkStart w:id="855" w:name="_Toc13447"/>
      <w:bookmarkStart w:id="856" w:name="_Toc20279"/>
      <w:bookmarkStart w:id="857" w:name="_Toc15495"/>
      <w:bookmarkStart w:id="858" w:name="_Toc12061"/>
      <w:bookmarkStart w:id="859" w:name="_Toc21166"/>
      <w:bookmarkStart w:id="860" w:name="_Toc20310"/>
      <w:bookmarkStart w:id="861" w:name="_Toc20054"/>
      <w:bookmarkStart w:id="862" w:name="_Toc14512"/>
      <w:bookmarkStart w:id="863" w:name="_Toc16577"/>
      <w:bookmarkStart w:id="864" w:name="_Toc12550"/>
      <w:bookmarkStart w:id="865" w:name="_Toc16894"/>
      <w:bookmarkStart w:id="866" w:name="_Toc11356"/>
      <w:bookmarkStart w:id="867" w:name="_Toc7325"/>
      <w:bookmarkStart w:id="868" w:name="_Toc11123"/>
      <w:bookmarkStart w:id="869" w:name="BookMark8"/>
      <w:r>
        <w:rPr>
          <w:color w:val="auto"/>
          <w:szCs w:val="21"/>
        </w:rPr>
        <w:t>设备完好性管理</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14:paraId="1A1E836C">
      <w:pPr>
        <w:pStyle w:val="79"/>
        <w:spacing w:before="160" w:after="160"/>
        <w:rPr>
          <w:color w:val="auto"/>
          <w:szCs w:val="21"/>
          <w:highlight w:val="none"/>
        </w:rPr>
      </w:pPr>
      <w:bookmarkStart w:id="870" w:name="_Toc7075"/>
      <w:r>
        <w:rPr>
          <w:rFonts w:hint="default"/>
          <w:color w:val="auto"/>
          <w:szCs w:val="21"/>
          <w:highlight w:val="none"/>
        </w:rPr>
        <w:t>设计与</w:t>
      </w:r>
      <w:r>
        <w:rPr>
          <w:rFonts w:hint="eastAsia"/>
          <w:color w:val="auto"/>
          <w:szCs w:val="21"/>
          <w:highlight w:val="none"/>
          <w:lang w:val="en-US" w:eastAsia="zh-CN"/>
        </w:rPr>
        <w:t>采购</w:t>
      </w:r>
      <w:bookmarkEnd w:id="870"/>
    </w:p>
    <w:p w14:paraId="2B28C0BE">
      <w:pPr>
        <w:pStyle w:val="171"/>
        <w:ind w:left="0" w:hanging="10" w:firstLineChars="0"/>
        <w:textAlignment w:val="auto"/>
        <w:outlineLvl w:val="9"/>
        <w:rPr>
          <w:rFonts w:hint="eastAsia" w:ascii="宋体" w:hAnsi="Times New Roman" w:eastAsia="宋体" w:cs="Times New Roman"/>
          <w:color w:val="auto"/>
          <w:szCs w:val="21"/>
        </w:rPr>
      </w:pPr>
      <w:r>
        <w:rPr>
          <w:rFonts w:hint="eastAsia" w:ascii="宋体" w:hAnsi="Times New Roman" w:eastAsia="宋体" w:cs="Times New Roman"/>
          <w:color w:val="auto"/>
          <w:szCs w:val="21"/>
        </w:rPr>
        <w:t>企业应根据</w:t>
      </w:r>
      <w:r>
        <w:rPr>
          <w:rFonts w:hint="eastAsia" w:cs="Times New Roman"/>
          <w:color w:val="auto"/>
          <w:szCs w:val="21"/>
          <w:lang w:eastAsia="zh-CN"/>
        </w:rPr>
        <w:t>安全风险</w:t>
      </w:r>
      <w:r>
        <w:rPr>
          <w:rFonts w:hint="eastAsia" w:ascii="宋体" w:hAnsi="Times New Roman" w:eastAsia="宋体" w:cs="Times New Roman"/>
          <w:color w:val="auto"/>
          <w:szCs w:val="21"/>
        </w:rPr>
        <w:t>评估结果合理选择设备和管道的材质、设备规格,关键设备应留有足够的安全裕量,为装置长周期</w:t>
      </w:r>
      <w:r>
        <w:rPr>
          <w:rFonts w:hint="default" w:ascii="宋体" w:hAnsi="Times New Roman" w:eastAsia="宋体" w:cs="Times New Roman"/>
          <w:color w:val="auto"/>
          <w:szCs w:val="21"/>
        </w:rPr>
        <w:t>运行提供保障。</w:t>
      </w:r>
    </w:p>
    <w:p w14:paraId="2DFCE41F">
      <w:pPr>
        <w:pStyle w:val="171"/>
        <w:ind w:left="0" w:hanging="10" w:firstLineChars="0"/>
        <w:textAlignment w:val="auto"/>
        <w:outlineLvl w:val="9"/>
        <w:rPr>
          <w:rFonts w:hint="eastAsia" w:ascii="宋体" w:hAnsi="Times New Roman" w:eastAsia="宋体" w:cs="Times New Roman"/>
          <w:color w:val="auto"/>
          <w:szCs w:val="21"/>
        </w:rPr>
      </w:pPr>
      <w:r>
        <w:rPr>
          <w:rFonts w:hint="eastAsia" w:ascii="宋体" w:hAnsi="Times New Roman" w:eastAsia="宋体" w:cs="Times New Roman"/>
          <w:color w:val="auto"/>
          <w:szCs w:val="21"/>
        </w:rPr>
        <w:t>企业应明确采购和验收标准</w:t>
      </w:r>
      <w:r>
        <w:rPr>
          <w:rFonts w:hint="default" w:ascii="宋体" w:hAnsi="Times New Roman" w:eastAsia="宋体" w:cs="Times New Roman"/>
          <w:color w:val="auto"/>
          <w:szCs w:val="21"/>
        </w:rPr>
        <w:t>，按照</w:t>
      </w:r>
      <w:r>
        <w:rPr>
          <w:rFonts w:hint="eastAsia" w:ascii="宋体" w:hAnsi="Times New Roman" w:eastAsia="宋体" w:cs="Times New Roman"/>
          <w:color w:val="auto"/>
          <w:szCs w:val="21"/>
        </w:rPr>
        <w:t>采购计划和设计要求</w:t>
      </w:r>
      <w:r>
        <w:rPr>
          <w:rFonts w:hint="default" w:ascii="宋体" w:hAnsi="Times New Roman" w:eastAsia="宋体" w:cs="Times New Roman"/>
          <w:color w:val="auto"/>
          <w:szCs w:val="21"/>
        </w:rPr>
        <w:t>办理设备入库验收，特</w:t>
      </w:r>
      <w:r>
        <w:rPr>
          <w:rFonts w:hint="eastAsia" w:ascii="宋体" w:hAnsi="Times New Roman" w:eastAsia="宋体" w:cs="Times New Roman"/>
          <w:color w:val="auto"/>
          <w:szCs w:val="21"/>
        </w:rPr>
        <w:t>殊设备材料入库后储存条件应满足要求。</w:t>
      </w:r>
    </w:p>
    <w:p w14:paraId="0E99008A">
      <w:pPr>
        <w:pStyle w:val="171"/>
        <w:ind w:left="0" w:hanging="10" w:firstLineChars="0"/>
        <w:textAlignment w:val="auto"/>
        <w:outlineLvl w:val="9"/>
        <w:rPr>
          <w:color w:val="auto"/>
          <w:szCs w:val="21"/>
        </w:rPr>
      </w:pPr>
      <w:r>
        <w:rPr>
          <w:rFonts w:hint="default" w:ascii="宋体" w:hAnsi="Times New Roman" w:eastAsia="宋体" w:cs="Times New Roman"/>
          <w:color w:val="auto"/>
          <w:szCs w:val="21"/>
        </w:rPr>
        <w:t>企业</w:t>
      </w:r>
      <w:r>
        <w:rPr>
          <w:rFonts w:hint="eastAsia" w:ascii="宋体" w:hAnsi="Times New Roman" w:eastAsia="宋体" w:cs="Times New Roman"/>
          <w:color w:val="auto"/>
          <w:szCs w:val="21"/>
        </w:rPr>
        <w:t>应依据设计标准和制造商提供的安装指南正确安装设备,并进行检查、检验和测试,形成报告并保存。</w:t>
      </w:r>
    </w:p>
    <w:p w14:paraId="72FF38C3">
      <w:pPr>
        <w:pStyle w:val="171"/>
        <w:ind w:left="0" w:hanging="10" w:firstLineChars="0"/>
        <w:textAlignment w:val="auto"/>
        <w:outlineLvl w:val="9"/>
        <w:rPr>
          <w:color w:val="auto"/>
          <w:szCs w:val="21"/>
        </w:rPr>
      </w:pPr>
      <w:r>
        <w:rPr>
          <w:rFonts w:hint="eastAsia"/>
          <w:color w:val="auto"/>
          <w:szCs w:val="21"/>
        </w:rPr>
        <w:t>企业应采用先进的、安全性能可靠的新技术、新工艺、新设备和新材料。禁止使用淘汰落后安全技术工艺、设备目录列出的工艺、设备</w:t>
      </w:r>
      <w:r>
        <w:rPr>
          <w:rFonts w:hint="default"/>
          <w:color w:val="auto"/>
          <w:szCs w:val="21"/>
        </w:rPr>
        <w:t>。</w:t>
      </w:r>
    </w:p>
    <w:p w14:paraId="14190CD9">
      <w:pPr>
        <w:pStyle w:val="79"/>
        <w:spacing w:before="160" w:after="160"/>
        <w:rPr>
          <w:color w:val="auto"/>
          <w:szCs w:val="21"/>
        </w:rPr>
      </w:pPr>
      <w:bookmarkStart w:id="871" w:name="_Toc10589"/>
      <w:bookmarkStart w:id="872" w:name="_Toc14028"/>
      <w:bookmarkStart w:id="873" w:name="_Toc13251"/>
      <w:r>
        <w:rPr>
          <w:rFonts w:hint="eastAsia"/>
          <w:color w:val="auto"/>
          <w:szCs w:val="21"/>
          <w:lang w:val="en-US" w:eastAsia="zh-CN"/>
        </w:rPr>
        <w:t>分级管理</w:t>
      </w:r>
      <w:bookmarkEnd w:id="871"/>
      <w:bookmarkEnd w:id="872"/>
      <w:bookmarkEnd w:id="873"/>
    </w:p>
    <w:p w14:paraId="04987E89">
      <w:pPr>
        <w:pStyle w:val="171"/>
        <w:keepNext w:val="0"/>
        <w:keepLines w:val="0"/>
        <w:pageBreakBefore w:val="0"/>
        <w:widowControl/>
        <w:kinsoku/>
        <w:wordWrap/>
        <w:overflowPunct/>
        <w:bidi w:val="0"/>
        <w:spacing w:line="360" w:lineRule="exact"/>
        <w:ind w:left="10" w:hanging="10" w:hangingChars="5"/>
        <w:textAlignment w:val="center"/>
        <w:outlineLvl w:val="9"/>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企业应根据设备在生产过程中的重要程度、设备维修复杂程度、设备故障后果产生的危害性等因素确定设备</w:t>
      </w:r>
      <w:r>
        <w:rPr>
          <w:rFonts w:hint="default" w:ascii="宋体" w:hAnsi="Times New Roman" w:eastAsia="宋体" w:cs="Times New Roman"/>
          <w:color w:val="auto"/>
          <w:sz w:val="21"/>
          <w:szCs w:val="21"/>
          <w:highlight w:val="none"/>
        </w:rPr>
        <w:t>安全</w:t>
      </w:r>
      <w:r>
        <w:rPr>
          <w:rFonts w:hint="eastAsia" w:ascii="宋体" w:hAnsi="Times New Roman" w:eastAsia="宋体" w:cs="Times New Roman"/>
          <w:color w:val="auto"/>
          <w:sz w:val="21"/>
          <w:szCs w:val="21"/>
          <w:highlight w:val="none"/>
          <w:lang w:val="en-US" w:eastAsia="zh-CN"/>
        </w:rPr>
        <w:t>管理</w:t>
      </w:r>
      <w:r>
        <w:rPr>
          <w:rFonts w:hint="eastAsia" w:ascii="宋体" w:hAnsi="Times New Roman" w:eastAsia="宋体" w:cs="Times New Roman"/>
          <w:color w:val="auto"/>
          <w:sz w:val="21"/>
          <w:szCs w:val="21"/>
          <w:highlight w:val="none"/>
        </w:rPr>
        <w:t>等级，建立设备清单</w:t>
      </w:r>
      <w:r>
        <w:rPr>
          <w:rFonts w:hint="eastAsia" w:ascii="宋体" w:hAnsi="Times New Roman" w:eastAsia="宋体" w:cs="Times New Roman"/>
          <w:color w:val="auto"/>
          <w:sz w:val="21"/>
          <w:szCs w:val="21"/>
          <w:highlight w:val="none"/>
          <w:lang w:eastAsia="zh-CN"/>
        </w:rPr>
        <w:t>，</w:t>
      </w:r>
      <w:r>
        <w:rPr>
          <w:rFonts w:hint="eastAsia" w:ascii="宋体" w:hAnsi="Times New Roman" w:eastAsia="宋体" w:cs="Times New Roman"/>
          <w:color w:val="auto"/>
          <w:sz w:val="21"/>
          <w:szCs w:val="21"/>
          <w:highlight w:val="none"/>
        </w:rPr>
        <w:t>进行分级管理。</w:t>
      </w:r>
    </w:p>
    <w:p w14:paraId="74C77112">
      <w:pPr>
        <w:pStyle w:val="171"/>
        <w:keepNext w:val="0"/>
        <w:keepLines w:val="0"/>
        <w:pageBreakBefore w:val="0"/>
        <w:widowControl/>
        <w:kinsoku/>
        <w:wordWrap/>
        <w:overflowPunct/>
        <w:bidi w:val="0"/>
        <w:spacing w:line="360" w:lineRule="exact"/>
        <w:ind w:left="10" w:hanging="10" w:hangingChars="5"/>
        <w:textAlignment w:val="center"/>
        <w:outlineLvl w:val="9"/>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企业应根据设备检修、更新改造和装置改扩建等情况，对设备分级进行动态调整。</w:t>
      </w:r>
    </w:p>
    <w:p w14:paraId="22E3EB8B">
      <w:pPr>
        <w:pStyle w:val="79"/>
        <w:spacing w:before="160" w:after="160"/>
        <w:rPr>
          <w:color w:val="auto"/>
          <w:szCs w:val="21"/>
        </w:rPr>
      </w:pPr>
      <w:bookmarkStart w:id="874" w:name="_Toc8326"/>
      <w:bookmarkStart w:id="875" w:name="_Toc8494"/>
      <w:bookmarkStart w:id="876" w:name="_Toc24997"/>
      <w:bookmarkStart w:id="877" w:name="_Toc30851"/>
      <w:bookmarkStart w:id="878" w:name="_Toc15307"/>
      <w:bookmarkStart w:id="879" w:name="_Toc17403"/>
      <w:bookmarkStart w:id="880" w:name="_Toc28778"/>
      <w:bookmarkStart w:id="881" w:name="_Toc9723"/>
      <w:bookmarkStart w:id="882" w:name="_Toc11043"/>
      <w:bookmarkStart w:id="883" w:name="_Toc19891"/>
      <w:bookmarkStart w:id="884" w:name="_Toc32272"/>
      <w:bookmarkStart w:id="885" w:name="_Toc13976"/>
      <w:bookmarkStart w:id="886" w:name="_Toc6467"/>
      <w:bookmarkStart w:id="887" w:name="_Toc9985"/>
      <w:bookmarkStart w:id="888" w:name="_Toc752"/>
      <w:bookmarkStart w:id="889" w:name="_Toc17169"/>
      <w:bookmarkStart w:id="890" w:name="_Toc10453"/>
      <w:bookmarkStart w:id="891" w:name="_Toc22106"/>
      <w:bookmarkStart w:id="892" w:name="_Toc29635"/>
      <w:bookmarkStart w:id="893" w:name="_Toc32723"/>
      <w:bookmarkStart w:id="894" w:name="_Toc30304"/>
      <w:bookmarkStart w:id="895" w:name="_Toc30928"/>
      <w:r>
        <w:rPr>
          <w:rFonts w:hint="eastAsia"/>
          <w:color w:val="auto"/>
          <w:szCs w:val="21"/>
        </w:rPr>
        <w:t>检验测试与检查</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p>
    <w:p w14:paraId="7FCD2DFB">
      <w:pPr>
        <w:pStyle w:val="171"/>
        <w:ind w:left="10" w:hanging="10" w:hangingChars="5"/>
        <w:textAlignment w:val="center"/>
        <w:rPr>
          <w:color w:val="auto"/>
          <w:szCs w:val="21"/>
        </w:rPr>
      </w:pPr>
      <w:r>
        <w:rPr>
          <w:rFonts w:hint="eastAsia"/>
          <w:color w:val="auto"/>
          <w:szCs w:val="21"/>
        </w:rPr>
        <w:t>企业应根据设备设施安全运行要求和安全风险分析结果，制定设备检验和测试计划，对设备设施实施检验和测试。</w:t>
      </w:r>
    </w:p>
    <w:p w14:paraId="11B0C06E">
      <w:pPr>
        <w:pStyle w:val="171"/>
        <w:ind w:left="10" w:hanging="10" w:hangingChars="5"/>
        <w:textAlignment w:val="center"/>
        <w:rPr>
          <w:color w:val="auto"/>
          <w:szCs w:val="21"/>
        </w:rPr>
      </w:pPr>
      <w:r>
        <w:rPr>
          <w:rFonts w:hint="eastAsia"/>
          <w:color w:val="auto"/>
          <w:szCs w:val="21"/>
        </w:rPr>
        <w:t>企业应</w:t>
      </w:r>
      <w:r>
        <w:rPr>
          <w:rFonts w:hint="default"/>
          <w:color w:val="auto"/>
          <w:szCs w:val="21"/>
        </w:rPr>
        <w:t>在</w:t>
      </w:r>
      <w:r>
        <w:rPr>
          <w:rFonts w:hint="eastAsia"/>
          <w:color w:val="auto"/>
          <w:szCs w:val="21"/>
        </w:rPr>
        <w:t>装置停工期间进行腐蚀检查，掌握设备内部腐蚀状况，消除腐蚀导致的设备缺陷。</w:t>
      </w:r>
    </w:p>
    <w:p w14:paraId="0572816C">
      <w:pPr>
        <w:pStyle w:val="171"/>
        <w:ind w:left="10" w:hanging="10" w:hangingChars="5"/>
        <w:rPr>
          <w:color w:val="auto"/>
          <w:szCs w:val="21"/>
        </w:rPr>
      </w:pPr>
      <w:r>
        <w:rPr>
          <w:rFonts w:hint="eastAsia"/>
          <w:color w:val="auto"/>
          <w:szCs w:val="21"/>
        </w:rPr>
        <w:t>企业应对设备检验和测试计划的执行情况进行检查跟踪，根据检查结果优化设备检验和测试内容、频率及人员职责分配等。</w:t>
      </w:r>
    </w:p>
    <w:p w14:paraId="7C17679A">
      <w:pPr>
        <w:pStyle w:val="79"/>
        <w:spacing w:before="160" w:after="160"/>
        <w:rPr>
          <w:color w:val="auto"/>
          <w:szCs w:val="21"/>
        </w:rPr>
      </w:pPr>
      <w:bookmarkStart w:id="896" w:name="_Toc21460"/>
      <w:bookmarkStart w:id="897" w:name="_Toc18916"/>
      <w:bookmarkStart w:id="898" w:name="_Toc21278"/>
      <w:bookmarkStart w:id="899" w:name="_Toc25671"/>
      <w:bookmarkStart w:id="900" w:name="_Toc9447"/>
      <w:bookmarkStart w:id="901" w:name="_Toc10269"/>
      <w:bookmarkStart w:id="902" w:name="_Toc24566"/>
      <w:bookmarkStart w:id="903" w:name="_Toc2791"/>
      <w:bookmarkStart w:id="904" w:name="_Toc7502"/>
      <w:bookmarkStart w:id="905" w:name="_Toc4720"/>
      <w:bookmarkStart w:id="906" w:name="_Toc6689"/>
      <w:bookmarkStart w:id="907" w:name="_Toc28063"/>
      <w:bookmarkStart w:id="908" w:name="_Toc5"/>
      <w:bookmarkStart w:id="909" w:name="_Toc5036"/>
      <w:bookmarkStart w:id="910" w:name="_Toc20029"/>
      <w:bookmarkStart w:id="911" w:name="_Toc15349"/>
      <w:bookmarkStart w:id="912" w:name="_Toc21397"/>
      <w:bookmarkStart w:id="913" w:name="_Toc23815"/>
      <w:bookmarkStart w:id="914" w:name="_Toc24343"/>
      <w:bookmarkStart w:id="915" w:name="_Toc956"/>
      <w:bookmarkStart w:id="916" w:name="_Toc30438"/>
      <w:bookmarkStart w:id="917" w:name="_Toc31131"/>
      <w:r>
        <w:rPr>
          <w:rFonts w:hint="eastAsia"/>
          <w:color w:val="auto"/>
          <w:szCs w:val="21"/>
        </w:rPr>
        <w:t>预防性维护与维修</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14:paraId="135FDEA4">
      <w:pPr>
        <w:pStyle w:val="171"/>
        <w:ind w:left="10" w:hanging="10" w:hangingChars="5"/>
        <w:textAlignment w:val="center"/>
        <w:rPr>
          <w:color w:val="auto"/>
          <w:szCs w:val="21"/>
        </w:rPr>
      </w:pPr>
      <w:r>
        <w:rPr>
          <w:rFonts w:hint="eastAsia"/>
          <w:color w:val="auto"/>
          <w:szCs w:val="21"/>
        </w:rPr>
        <w:t>企业应根据设备预防性维护与维修管理要求和设备可靠性评价结果，制定并落实设备预防性维护与维修计划。</w:t>
      </w:r>
    </w:p>
    <w:p w14:paraId="7907E0AC">
      <w:pPr>
        <w:pStyle w:val="171"/>
        <w:ind w:left="10" w:hanging="10" w:hangingChars="5"/>
        <w:textAlignment w:val="center"/>
        <w:rPr>
          <w:color w:val="auto"/>
          <w:szCs w:val="21"/>
          <w:highlight w:val="none"/>
        </w:rPr>
      </w:pPr>
      <w:r>
        <w:rPr>
          <w:rFonts w:hint="eastAsia"/>
          <w:color w:val="auto"/>
          <w:szCs w:val="21"/>
          <w:highlight w:val="none"/>
        </w:rPr>
        <w:t>企业应对检维修方案的编制与审核、施工过程与验收等环节实施管理。</w:t>
      </w:r>
    </w:p>
    <w:p w14:paraId="5EB314ED">
      <w:pPr>
        <w:pStyle w:val="171"/>
        <w:ind w:left="10" w:hanging="10" w:hangingChars="5"/>
        <w:textAlignment w:val="center"/>
        <w:rPr>
          <w:color w:val="auto"/>
          <w:szCs w:val="21"/>
          <w:highlight w:val="none"/>
        </w:rPr>
      </w:pPr>
      <w:r>
        <w:rPr>
          <w:rFonts w:hint="eastAsia"/>
          <w:color w:val="auto"/>
          <w:szCs w:val="21"/>
          <w:highlight w:val="none"/>
        </w:rPr>
        <w:t>企业应定期评估</w:t>
      </w:r>
      <w:r>
        <w:rPr>
          <w:rFonts w:hint="default"/>
          <w:color w:val="auto"/>
          <w:szCs w:val="21"/>
          <w:highlight w:val="none"/>
        </w:rPr>
        <w:t>设备</w:t>
      </w:r>
      <w:r>
        <w:rPr>
          <w:rFonts w:hint="eastAsia"/>
          <w:color w:val="auto"/>
          <w:szCs w:val="21"/>
          <w:highlight w:val="none"/>
        </w:rPr>
        <w:t>老化状况，根据老化程度采取针对性的检验检测与预防性维修管理。</w:t>
      </w:r>
    </w:p>
    <w:p w14:paraId="314F0DAF">
      <w:pPr>
        <w:pStyle w:val="79"/>
        <w:spacing w:before="160" w:after="160"/>
        <w:rPr>
          <w:color w:val="auto"/>
          <w:szCs w:val="21"/>
        </w:rPr>
      </w:pPr>
      <w:bookmarkStart w:id="918" w:name="_Toc4670"/>
      <w:bookmarkStart w:id="919" w:name="_Toc11400"/>
      <w:bookmarkStart w:id="920" w:name="_Toc7238"/>
      <w:bookmarkStart w:id="921" w:name="_Toc21780"/>
      <w:bookmarkStart w:id="922" w:name="_Toc19769"/>
      <w:bookmarkStart w:id="923" w:name="_Toc17585"/>
      <w:bookmarkStart w:id="924" w:name="_Toc30762"/>
      <w:bookmarkStart w:id="925" w:name="_Toc23963"/>
      <w:bookmarkStart w:id="926" w:name="_Toc12003"/>
      <w:bookmarkStart w:id="927" w:name="_Toc19933"/>
      <w:bookmarkStart w:id="928" w:name="_Toc21692"/>
      <w:bookmarkStart w:id="929" w:name="_Toc22255"/>
      <w:bookmarkStart w:id="930" w:name="_Toc3096"/>
      <w:bookmarkStart w:id="931" w:name="_Toc15011"/>
      <w:bookmarkStart w:id="932" w:name="_Toc10607"/>
      <w:bookmarkStart w:id="933" w:name="_Toc12808"/>
      <w:bookmarkStart w:id="934" w:name="_Toc8963"/>
      <w:bookmarkStart w:id="935" w:name="_Toc15378"/>
      <w:bookmarkStart w:id="936" w:name="_Toc27149"/>
      <w:bookmarkStart w:id="937" w:name="_Toc21821"/>
      <w:bookmarkStart w:id="938" w:name="_Toc4339"/>
      <w:bookmarkStart w:id="939" w:name="_Toc16125"/>
      <w:r>
        <w:rPr>
          <w:rFonts w:hint="eastAsia"/>
          <w:color w:val="auto"/>
          <w:szCs w:val="21"/>
          <w:highlight w:val="none"/>
        </w:rPr>
        <w:t>检维修</w:t>
      </w:r>
      <w:r>
        <w:rPr>
          <w:rFonts w:hint="eastAsia"/>
          <w:color w:val="auto"/>
          <w:szCs w:val="21"/>
        </w:rPr>
        <w:t>质量控制</w:t>
      </w:r>
      <w:bookmarkEnd w:id="918"/>
      <w:bookmarkEnd w:id="919"/>
      <w:bookmarkEnd w:id="920"/>
      <w:bookmarkEnd w:id="921"/>
    </w:p>
    <w:p w14:paraId="544F0B9D">
      <w:pPr>
        <w:pStyle w:val="171"/>
        <w:ind w:left="10" w:hanging="10" w:hangingChars="5"/>
        <w:textAlignment w:val="center"/>
        <w:rPr>
          <w:rFonts w:hint="eastAsia"/>
          <w:color w:val="auto"/>
          <w:szCs w:val="21"/>
        </w:rPr>
      </w:pPr>
      <w:r>
        <w:rPr>
          <w:rFonts w:hint="eastAsia"/>
          <w:color w:val="auto"/>
          <w:szCs w:val="21"/>
        </w:rPr>
        <w:t>企业应</w:t>
      </w:r>
      <w:r>
        <w:rPr>
          <w:rFonts w:hint="eastAsia"/>
          <w:color w:val="auto"/>
          <w:szCs w:val="21"/>
          <w:lang w:val="en-US" w:eastAsia="zh-CN"/>
        </w:rPr>
        <w:t>组织制定检维修计划，</w:t>
      </w:r>
      <w:r>
        <w:rPr>
          <w:rFonts w:hint="eastAsia"/>
          <w:color w:val="auto"/>
          <w:szCs w:val="21"/>
        </w:rPr>
        <w:t>对</w:t>
      </w:r>
      <w:r>
        <w:rPr>
          <w:rFonts w:hint="eastAsia"/>
          <w:color w:val="auto"/>
          <w:szCs w:val="21"/>
          <w:lang w:val="en-US" w:eastAsia="zh-CN"/>
        </w:rPr>
        <w:t>检维修</w:t>
      </w:r>
      <w:r>
        <w:rPr>
          <w:rFonts w:hint="eastAsia"/>
          <w:color w:val="auto"/>
          <w:szCs w:val="21"/>
        </w:rPr>
        <w:t>施工方案的编制与审核、</w:t>
      </w:r>
      <w:r>
        <w:rPr>
          <w:rFonts w:hint="eastAsia"/>
          <w:color w:val="auto"/>
          <w:szCs w:val="21"/>
          <w:lang w:val="en-US" w:eastAsia="zh-CN"/>
        </w:rPr>
        <w:t>检维修施工过程监督、检维修质量</w:t>
      </w:r>
      <w:r>
        <w:rPr>
          <w:rFonts w:hint="eastAsia"/>
          <w:color w:val="auto"/>
          <w:szCs w:val="21"/>
        </w:rPr>
        <w:t>验收等环节实施</w:t>
      </w:r>
      <w:r>
        <w:rPr>
          <w:rFonts w:hint="eastAsia"/>
          <w:color w:val="auto"/>
          <w:szCs w:val="21"/>
          <w:lang w:val="en-US" w:eastAsia="zh-CN"/>
        </w:rPr>
        <w:t>全</w:t>
      </w:r>
      <w:r>
        <w:rPr>
          <w:rFonts w:hint="eastAsia"/>
          <w:color w:val="auto"/>
          <w:szCs w:val="21"/>
        </w:rPr>
        <w:t>过程控制。</w:t>
      </w:r>
    </w:p>
    <w:p w14:paraId="537E52F6">
      <w:pPr>
        <w:pStyle w:val="171"/>
        <w:ind w:left="10" w:hanging="10" w:hangingChars="5"/>
        <w:textAlignment w:val="center"/>
        <w:outlineLvl w:val="9"/>
        <w:rPr>
          <w:rFonts w:hint="eastAsia" w:ascii="宋体" w:hAnsi="Times New Roman" w:eastAsia="宋体" w:cs="Times New Roman"/>
          <w:color w:val="auto"/>
          <w:szCs w:val="21"/>
        </w:rPr>
      </w:pPr>
      <w:r>
        <w:rPr>
          <w:rFonts w:hint="eastAsia" w:cs="Times New Roman"/>
          <w:color w:val="auto"/>
          <w:szCs w:val="21"/>
          <w:lang w:val="en-US" w:eastAsia="zh-CN"/>
        </w:rPr>
        <w:t>企业检维修项目</w:t>
      </w:r>
      <w:r>
        <w:rPr>
          <w:rFonts w:hint="eastAsia" w:ascii="宋体" w:hAnsi="Times New Roman" w:eastAsia="宋体" w:cs="Times New Roman"/>
          <w:color w:val="auto"/>
          <w:szCs w:val="21"/>
        </w:rPr>
        <w:t>由外部承包商</w:t>
      </w:r>
      <w:r>
        <w:rPr>
          <w:rFonts w:hint="eastAsia" w:cs="Times New Roman"/>
          <w:color w:val="auto"/>
          <w:szCs w:val="21"/>
          <w:lang w:val="en-US" w:eastAsia="zh-CN"/>
        </w:rPr>
        <w:t>承担时</w:t>
      </w:r>
      <w:r>
        <w:rPr>
          <w:rFonts w:hint="eastAsia" w:ascii="宋体" w:hAnsi="Times New Roman" w:eastAsia="宋体" w:cs="Times New Roman"/>
          <w:color w:val="auto"/>
          <w:szCs w:val="21"/>
        </w:rPr>
        <w:t>，需要对承包商的资质、经验和过往表现进行审查和评估</w:t>
      </w:r>
      <w:r>
        <w:rPr>
          <w:rFonts w:hint="eastAsia" w:cs="Times New Roman"/>
          <w:color w:val="auto"/>
          <w:szCs w:val="21"/>
          <w:lang w:eastAsia="zh-CN"/>
        </w:rPr>
        <w:t>，</w:t>
      </w:r>
      <w:r>
        <w:rPr>
          <w:rFonts w:hint="eastAsia" w:cs="Times New Roman"/>
          <w:color w:val="auto"/>
          <w:szCs w:val="21"/>
          <w:lang w:val="en-US" w:eastAsia="zh-CN"/>
        </w:rPr>
        <w:t>选择合格的承包商</w:t>
      </w:r>
      <w:r>
        <w:rPr>
          <w:rFonts w:hint="eastAsia" w:ascii="宋体" w:hAnsi="Times New Roman" w:eastAsia="宋体" w:cs="Times New Roman"/>
          <w:color w:val="auto"/>
          <w:szCs w:val="21"/>
        </w:rPr>
        <w:t>。</w:t>
      </w:r>
    </w:p>
    <w:p w14:paraId="3950DA46">
      <w:pPr>
        <w:pStyle w:val="171"/>
        <w:ind w:left="10" w:hanging="10" w:hangingChars="5"/>
        <w:textAlignment w:val="center"/>
        <w:outlineLvl w:val="9"/>
        <w:rPr>
          <w:rFonts w:hint="eastAsia" w:ascii="宋体" w:hAnsi="Times New Roman" w:eastAsia="宋体" w:cs="Times New Roman"/>
          <w:color w:val="auto"/>
          <w:szCs w:val="21"/>
        </w:rPr>
      </w:pPr>
      <w:r>
        <w:rPr>
          <w:rFonts w:hint="eastAsia" w:cs="Times New Roman"/>
          <w:color w:val="auto"/>
          <w:szCs w:val="21"/>
          <w:lang w:val="en-US" w:eastAsia="zh-CN"/>
        </w:rPr>
        <w:t>企业应</w:t>
      </w:r>
      <w:r>
        <w:rPr>
          <w:rFonts w:hint="eastAsia" w:ascii="宋体" w:hAnsi="Times New Roman" w:eastAsia="宋体" w:cs="Times New Roman"/>
          <w:color w:val="auto"/>
          <w:szCs w:val="21"/>
        </w:rPr>
        <w:t>对检维修施工方案进行严格的审查，确保方案的合理性和可行性</w:t>
      </w:r>
      <w:r>
        <w:rPr>
          <w:rFonts w:hint="eastAsia" w:cs="Times New Roman"/>
          <w:color w:val="auto"/>
          <w:szCs w:val="21"/>
          <w:lang w:eastAsia="zh-CN"/>
        </w:rPr>
        <w:t>，</w:t>
      </w:r>
      <w:r>
        <w:rPr>
          <w:rFonts w:hint="eastAsia" w:ascii="宋体" w:hAnsi="Times New Roman" w:eastAsia="宋体" w:cs="Times New Roman"/>
          <w:color w:val="auto"/>
          <w:szCs w:val="21"/>
        </w:rPr>
        <w:t>对检维修可能带来的</w:t>
      </w:r>
      <w:r>
        <w:rPr>
          <w:rFonts w:hint="eastAsia" w:cs="Times New Roman"/>
          <w:color w:val="auto"/>
          <w:szCs w:val="21"/>
          <w:lang w:eastAsia="zh-CN"/>
        </w:rPr>
        <w:t>安全风险</w:t>
      </w:r>
      <w:r>
        <w:rPr>
          <w:rFonts w:hint="eastAsia" w:ascii="宋体" w:hAnsi="Times New Roman" w:eastAsia="宋体" w:cs="Times New Roman"/>
          <w:color w:val="auto"/>
          <w:szCs w:val="21"/>
        </w:rPr>
        <w:t>进行评估，并制定相应的</w:t>
      </w:r>
      <w:r>
        <w:rPr>
          <w:rFonts w:hint="eastAsia" w:cs="Times New Roman"/>
          <w:color w:val="auto"/>
          <w:szCs w:val="21"/>
          <w:lang w:eastAsia="zh-CN"/>
        </w:rPr>
        <w:t>安全风险</w:t>
      </w:r>
      <w:r>
        <w:rPr>
          <w:rFonts w:hint="eastAsia" w:ascii="宋体" w:hAnsi="Times New Roman" w:eastAsia="宋体" w:cs="Times New Roman"/>
          <w:color w:val="auto"/>
          <w:szCs w:val="21"/>
        </w:rPr>
        <w:t>控制措施。</w:t>
      </w:r>
    </w:p>
    <w:p w14:paraId="4CDB48AE">
      <w:pPr>
        <w:pStyle w:val="171"/>
        <w:ind w:left="10" w:hanging="10" w:hangingChars="5"/>
        <w:textAlignment w:val="center"/>
        <w:outlineLvl w:val="9"/>
        <w:rPr>
          <w:rFonts w:hint="eastAsia" w:ascii="宋体" w:hAnsi="Times New Roman" w:eastAsia="宋体" w:cs="Times New Roman"/>
          <w:color w:val="auto"/>
          <w:szCs w:val="21"/>
        </w:rPr>
      </w:pPr>
      <w:r>
        <w:rPr>
          <w:rFonts w:hint="eastAsia" w:cs="Times New Roman"/>
          <w:color w:val="auto"/>
          <w:szCs w:val="21"/>
          <w:lang w:val="en-US" w:eastAsia="zh-CN"/>
        </w:rPr>
        <w:t>企业应</w:t>
      </w:r>
      <w:r>
        <w:rPr>
          <w:rFonts w:hint="eastAsia" w:ascii="宋体" w:hAnsi="Times New Roman" w:eastAsia="宋体" w:cs="Times New Roman"/>
          <w:color w:val="auto"/>
          <w:szCs w:val="21"/>
        </w:rPr>
        <w:t>在检维修过程中设置质量控制点，对检维修施工过程进行实时监督，对关键工序和节点进行质量检查和确认</w:t>
      </w:r>
      <w:r>
        <w:rPr>
          <w:rFonts w:hint="eastAsia" w:cs="Times New Roman"/>
          <w:color w:val="auto"/>
          <w:szCs w:val="21"/>
          <w:lang w:eastAsia="zh-CN"/>
        </w:rPr>
        <w:t>，</w:t>
      </w:r>
      <w:r>
        <w:rPr>
          <w:rFonts w:hint="eastAsia" w:ascii="宋体" w:hAnsi="Times New Roman" w:eastAsia="宋体" w:cs="Times New Roman"/>
          <w:color w:val="auto"/>
          <w:szCs w:val="21"/>
        </w:rPr>
        <w:t>确保施工质量符合要求。</w:t>
      </w:r>
    </w:p>
    <w:p w14:paraId="5E7ECC21">
      <w:pPr>
        <w:pStyle w:val="171"/>
        <w:ind w:left="10" w:hanging="10" w:hangingChars="5"/>
        <w:textAlignment w:val="center"/>
        <w:outlineLvl w:val="9"/>
        <w:rPr>
          <w:rFonts w:hint="eastAsia" w:ascii="宋体" w:hAnsi="Times New Roman" w:eastAsia="宋体" w:cs="Times New Roman"/>
          <w:color w:val="auto"/>
          <w:szCs w:val="21"/>
        </w:rPr>
      </w:pPr>
      <w:r>
        <w:rPr>
          <w:rFonts w:hint="eastAsia" w:cs="Times New Roman"/>
          <w:color w:val="auto"/>
          <w:szCs w:val="21"/>
          <w:lang w:val="en-US" w:eastAsia="zh-CN"/>
        </w:rPr>
        <w:t>企业应对施工</w:t>
      </w:r>
      <w:r>
        <w:rPr>
          <w:rFonts w:hint="eastAsia" w:ascii="宋体" w:hAnsi="Times New Roman" w:eastAsia="宋体" w:cs="Times New Roman"/>
          <w:color w:val="auto"/>
          <w:szCs w:val="21"/>
        </w:rPr>
        <w:t>材料和备件</w:t>
      </w:r>
      <w:r>
        <w:rPr>
          <w:rFonts w:hint="eastAsia" w:cs="Times New Roman"/>
          <w:color w:val="auto"/>
          <w:szCs w:val="21"/>
          <w:lang w:val="en-US" w:eastAsia="zh-CN"/>
        </w:rPr>
        <w:t>规范</w:t>
      </w:r>
      <w:r>
        <w:rPr>
          <w:rFonts w:hint="eastAsia" w:ascii="宋体" w:hAnsi="Times New Roman" w:eastAsia="宋体" w:cs="Times New Roman"/>
          <w:color w:val="auto"/>
          <w:szCs w:val="21"/>
        </w:rPr>
        <w:t>管理</w:t>
      </w:r>
      <w:r>
        <w:rPr>
          <w:rFonts w:hint="eastAsia" w:cs="Times New Roman"/>
          <w:color w:val="auto"/>
          <w:szCs w:val="21"/>
          <w:lang w:eastAsia="zh-CN"/>
        </w:rPr>
        <w:t>，</w:t>
      </w:r>
      <w:r>
        <w:rPr>
          <w:rFonts w:hint="eastAsia" w:ascii="宋体" w:hAnsi="Times New Roman" w:eastAsia="宋体" w:cs="Times New Roman"/>
          <w:color w:val="auto"/>
          <w:szCs w:val="21"/>
        </w:rPr>
        <w:t>确保使用的所有材料和备件符合技术规范和安全标准。</w:t>
      </w:r>
    </w:p>
    <w:p w14:paraId="2856F0E5">
      <w:pPr>
        <w:pStyle w:val="171"/>
        <w:ind w:left="10" w:hanging="10" w:hangingChars="5"/>
        <w:textAlignment w:val="center"/>
        <w:outlineLvl w:val="9"/>
        <w:rPr>
          <w:rFonts w:hint="eastAsia" w:ascii="宋体" w:hAnsi="Times New Roman" w:eastAsia="宋体" w:cs="Times New Roman"/>
          <w:color w:val="auto"/>
          <w:szCs w:val="21"/>
        </w:rPr>
      </w:pPr>
      <w:r>
        <w:rPr>
          <w:rFonts w:hint="eastAsia" w:cs="Times New Roman"/>
          <w:color w:val="auto"/>
          <w:szCs w:val="21"/>
          <w:lang w:val="en-US" w:eastAsia="zh-CN"/>
        </w:rPr>
        <w:t>企业应</w:t>
      </w:r>
      <w:r>
        <w:rPr>
          <w:rFonts w:hint="eastAsia" w:ascii="宋体" w:hAnsi="Times New Roman" w:eastAsia="宋体" w:cs="Times New Roman"/>
          <w:color w:val="auto"/>
          <w:szCs w:val="21"/>
        </w:rPr>
        <w:t>制定明确的验收标准和程序，检维修完成后，</w:t>
      </w:r>
      <w:r>
        <w:rPr>
          <w:rFonts w:hint="eastAsia" w:cs="Times New Roman"/>
          <w:color w:val="auto"/>
          <w:szCs w:val="21"/>
          <w:lang w:val="en-US" w:eastAsia="zh-CN"/>
        </w:rPr>
        <w:t>应组织</w:t>
      </w:r>
      <w:r>
        <w:rPr>
          <w:rFonts w:hint="eastAsia" w:ascii="宋体" w:hAnsi="Times New Roman" w:eastAsia="宋体" w:cs="Times New Roman"/>
          <w:color w:val="auto"/>
          <w:szCs w:val="21"/>
        </w:rPr>
        <w:t>必要的检查和测试，验证设备或设施的性能和安全性</w:t>
      </w:r>
      <w:r>
        <w:rPr>
          <w:rFonts w:hint="eastAsia" w:cs="Times New Roman"/>
          <w:color w:val="auto"/>
          <w:szCs w:val="21"/>
          <w:lang w:eastAsia="zh-CN"/>
        </w:rPr>
        <w:t>，</w:t>
      </w:r>
      <w:r>
        <w:rPr>
          <w:rFonts w:hint="eastAsia" w:ascii="宋体" w:hAnsi="Times New Roman" w:eastAsia="宋体" w:cs="Times New Roman"/>
          <w:color w:val="auto"/>
          <w:szCs w:val="21"/>
        </w:rPr>
        <w:t>确保检维修结果满足预定的质量要求。</w:t>
      </w:r>
    </w:p>
    <w:p w14:paraId="51B7F309">
      <w:pPr>
        <w:pStyle w:val="79"/>
        <w:spacing w:before="160" w:after="160"/>
        <w:rPr>
          <w:color w:val="auto"/>
          <w:szCs w:val="21"/>
        </w:rPr>
      </w:pPr>
      <w:bookmarkStart w:id="940" w:name="_Toc30033"/>
      <w:bookmarkStart w:id="941" w:name="_Toc12527"/>
      <w:bookmarkStart w:id="942" w:name="_Toc333"/>
      <w:bookmarkStart w:id="943" w:name="_Toc15415"/>
      <w:r>
        <w:rPr>
          <w:rFonts w:hint="eastAsia"/>
          <w:color w:val="auto"/>
          <w:szCs w:val="21"/>
        </w:rPr>
        <w:t>缺陷管理</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p w14:paraId="793E48A9">
      <w:pPr>
        <w:pStyle w:val="171"/>
        <w:ind w:left="10" w:hanging="10" w:hangingChars="5"/>
        <w:textAlignment w:val="center"/>
        <w:rPr>
          <w:color w:val="auto"/>
          <w:szCs w:val="21"/>
        </w:rPr>
      </w:pPr>
      <w:r>
        <w:rPr>
          <w:rFonts w:hint="eastAsia"/>
          <w:color w:val="auto"/>
          <w:szCs w:val="21"/>
        </w:rPr>
        <w:t>企业应</w:t>
      </w:r>
      <w:r>
        <w:rPr>
          <w:rFonts w:hint="default"/>
          <w:color w:val="auto"/>
          <w:szCs w:val="21"/>
        </w:rPr>
        <w:t>对</w:t>
      </w:r>
      <w:r>
        <w:rPr>
          <w:rFonts w:hint="eastAsia"/>
          <w:color w:val="auto"/>
          <w:szCs w:val="21"/>
        </w:rPr>
        <w:t>设备缺陷进行分级管理，</w:t>
      </w:r>
      <w:r>
        <w:rPr>
          <w:rFonts w:hint="eastAsia" w:hAnsi="宋体" w:cs="宋体"/>
          <w:color w:val="auto"/>
          <w:szCs w:val="21"/>
        </w:rPr>
        <w:t>通过失效分析、技术改造等手段，消除设备故障和隐患</w:t>
      </w:r>
      <w:r>
        <w:rPr>
          <w:rFonts w:hint="default" w:hAnsi="宋体" w:cs="宋体"/>
          <w:color w:val="auto"/>
          <w:szCs w:val="21"/>
        </w:rPr>
        <w:t>，</w:t>
      </w:r>
      <w:r>
        <w:rPr>
          <w:rFonts w:hint="eastAsia"/>
          <w:color w:val="auto"/>
          <w:szCs w:val="21"/>
        </w:rPr>
        <w:t>实现闭环管理。</w:t>
      </w:r>
    </w:p>
    <w:p w14:paraId="0C89A73E">
      <w:pPr>
        <w:pStyle w:val="171"/>
        <w:ind w:left="10" w:hanging="10" w:hangingChars="5"/>
        <w:textAlignment w:val="center"/>
        <w:rPr>
          <w:color w:val="auto"/>
          <w:szCs w:val="21"/>
        </w:rPr>
      </w:pPr>
      <w:r>
        <w:rPr>
          <w:rFonts w:hint="eastAsia"/>
          <w:color w:val="auto"/>
          <w:szCs w:val="21"/>
        </w:rPr>
        <w:t>企业应全面辨识可能发生泄漏的部位，评估泄漏</w:t>
      </w:r>
      <w:r>
        <w:rPr>
          <w:rFonts w:hint="eastAsia"/>
          <w:color w:val="auto"/>
          <w:szCs w:val="21"/>
          <w:lang w:eastAsia="zh-CN"/>
        </w:rPr>
        <w:t>安全风险</w:t>
      </w:r>
      <w:r>
        <w:rPr>
          <w:rFonts w:hint="eastAsia"/>
          <w:color w:val="auto"/>
          <w:szCs w:val="21"/>
        </w:rPr>
        <w:t>，明确具体防范措施。</w:t>
      </w:r>
    </w:p>
    <w:p w14:paraId="5E4381E7">
      <w:pPr>
        <w:pStyle w:val="171"/>
        <w:ind w:left="10" w:hanging="10" w:hangingChars="5"/>
        <w:textAlignment w:val="center"/>
        <w:rPr>
          <w:color w:val="auto"/>
          <w:szCs w:val="21"/>
        </w:rPr>
      </w:pPr>
      <w:r>
        <w:rPr>
          <w:rFonts w:hint="eastAsia" w:hAnsi="宋体" w:cs="宋体"/>
          <w:color w:val="auto"/>
          <w:szCs w:val="21"/>
        </w:rPr>
        <w:t>企业应根据技术规范和标准，通过修复、更换</w:t>
      </w:r>
      <w:r>
        <w:rPr>
          <w:rFonts w:hint="eastAsia" w:hAnsi="宋体" w:cs="宋体"/>
          <w:color w:val="auto"/>
          <w:szCs w:val="21"/>
          <w:lang w:val="en-US" w:eastAsia="zh-CN"/>
        </w:rPr>
        <w:t>或</w:t>
      </w:r>
      <w:r>
        <w:rPr>
          <w:rFonts w:hint="eastAsia" w:hAnsi="宋体" w:cs="宋体"/>
          <w:color w:val="auto"/>
          <w:szCs w:val="21"/>
        </w:rPr>
        <w:t>进行合于使用性评价等措施对设备缺陷进行处置，并对处置结果进行确认</w:t>
      </w:r>
      <w:r>
        <w:rPr>
          <w:rFonts w:hint="eastAsia" w:hAnsi="宋体" w:cs="宋体"/>
          <w:color w:val="auto"/>
          <w:sz w:val="21"/>
          <w:szCs w:val="21"/>
        </w:rPr>
        <w:t>。</w:t>
      </w:r>
    </w:p>
    <w:p w14:paraId="10D15BA2">
      <w:pPr>
        <w:pStyle w:val="79"/>
        <w:spacing w:before="160" w:after="160"/>
        <w:rPr>
          <w:color w:val="auto"/>
          <w:szCs w:val="21"/>
        </w:rPr>
      </w:pPr>
      <w:bookmarkStart w:id="944" w:name="_Toc1898"/>
      <w:bookmarkStart w:id="945" w:name="_Toc2704"/>
      <w:bookmarkStart w:id="946" w:name="_Toc9565"/>
      <w:bookmarkStart w:id="947" w:name="_Toc16899"/>
      <w:bookmarkStart w:id="948" w:name="_Toc8295"/>
      <w:bookmarkStart w:id="949" w:name="_Toc12721"/>
      <w:bookmarkStart w:id="950" w:name="_Toc27057"/>
      <w:bookmarkStart w:id="951" w:name="_Toc20455"/>
      <w:bookmarkStart w:id="952" w:name="_Toc23792"/>
      <w:bookmarkStart w:id="953" w:name="_Toc15699"/>
      <w:bookmarkStart w:id="954" w:name="_Toc8771"/>
      <w:bookmarkStart w:id="955" w:name="_Toc17055"/>
      <w:bookmarkStart w:id="956" w:name="_Toc22249"/>
      <w:bookmarkStart w:id="957" w:name="_Toc17439"/>
      <w:bookmarkStart w:id="958" w:name="_Toc20425"/>
      <w:bookmarkStart w:id="959" w:name="_Toc24731"/>
      <w:bookmarkStart w:id="960" w:name="_Toc2491"/>
      <w:bookmarkStart w:id="961" w:name="_Toc6530"/>
      <w:bookmarkStart w:id="962" w:name="_Toc5953"/>
      <w:bookmarkStart w:id="963" w:name="_Toc8186"/>
      <w:bookmarkStart w:id="964" w:name="_Toc1042"/>
      <w:bookmarkStart w:id="965" w:name="_Toc9418"/>
      <w:r>
        <w:rPr>
          <w:rFonts w:hint="eastAsia"/>
          <w:color w:val="auto"/>
          <w:szCs w:val="21"/>
        </w:rPr>
        <w:t>安全设施管理</w:t>
      </w:r>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5B76B4C3">
      <w:pPr>
        <w:pStyle w:val="171"/>
        <w:ind w:left="10" w:hangingChars="5"/>
        <w:outlineLvl w:val="9"/>
        <w:rPr>
          <w:rFonts w:hint="eastAsia" w:ascii="宋体" w:hAnsi="Times New Roman" w:eastAsia="宋体" w:cs="Times New Roman"/>
          <w:color w:val="auto"/>
          <w:szCs w:val="21"/>
          <w:lang w:bidi="ar"/>
        </w:rPr>
      </w:pPr>
      <w:r>
        <w:rPr>
          <w:rFonts w:hint="eastAsia" w:ascii="宋体" w:hAnsi="Times New Roman" w:eastAsia="宋体" w:cs="Times New Roman"/>
          <w:color w:val="auto"/>
          <w:szCs w:val="21"/>
          <w:lang w:bidi="ar"/>
        </w:rPr>
        <w:t>企业应根据生产、储存环节涉及危险化学品的种类和危险特性，</w:t>
      </w:r>
      <w:r>
        <w:rPr>
          <w:rFonts w:hint="eastAsia"/>
          <w:color w:val="auto"/>
          <w:szCs w:val="21"/>
          <w:lang w:bidi="ar"/>
        </w:rPr>
        <w:t>设计符合国家相关标准</w:t>
      </w:r>
      <w:r>
        <w:rPr>
          <w:rFonts w:hint="eastAsia"/>
          <w:color w:val="auto"/>
          <w:szCs w:val="21"/>
          <w:lang w:val="en-US" w:eastAsia="zh-CN" w:bidi="ar"/>
        </w:rPr>
        <w:t>要求的安全设施，</w:t>
      </w:r>
      <w:r>
        <w:rPr>
          <w:rFonts w:hint="eastAsia"/>
          <w:color w:val="auto"/>
          <w:szCs w:val="21"/>
          <w:lang w:bidi="ar"/>
        </w:rPr>
        <w:t>选型合理，满足实际安全生产需要</w:t>
      </w:r>
      <w:r>
        <w:rPr>
          <w:rFonts w:hint="eastAsia"/>
          <w:color w:val="auto"/>
          <w:szCs w:val="21"/>
          <w:lang w:eastAsia="zh-CN" w:bidi="ar"/>
        </w:rPr>
        <w:t>。</w:t>
      </w:r>
    </w:p>
    <w:p w14:paraId="56849FB4">
      <w:pPr>
        <w:pStyle w:val="171"/>
        <w:ind w:left="10" w:hanging="10" w:hangingChars="5"/>
        <w:textAlignment w:val="center"/>
        <w:rPr>
          <w:rFonts w:hint="eastAsia"/>
          <w:color w:val="auto"/>
          <w:szCs w:val="21"/>
          <w:lang w:bidi="ar"/>
        </w:rPr>
      </w:pPr>
      <w:r>
        <w:rPr>
          <w:rFonts w:hint="eastAsia"/>
          <w:color w:val="auto"/>
          <w:szCs w:val="21"/>
          <w:lang w:val="en-US" w:eastAsia="zh-CN" w:bidi="ar"/>
        </w:rPr>
        <w:t>企业应</w:t>
      </w:r>
      <w:r>
        <w:rPr>
          <w:rFonts w:hint="eastAsia"/>
          <w:color w:val="auto"/>
          <w:szCs w:val="21"/>
          <w:lang w:bidi="ar"/>
        </w:rPr>
        <w:t>对采购的安全设施进行严格的</w:t>
      </w:r>
      <w:r>
        <w:rPr>
          <w:rFonts w:hint="eastAsia"/>
          <w:color w:val="auto"/>
          <w:szCs w:val="21"/>
          <w:lang w:val="en-US" w:eastAsia="zh-CN" w:bidi="ar"/>
        </w:rPr>
        <w:t>质量</w:t>
      </w:r>
      <w:r>
        <w:rPr>
          <w:rFonts w:hint="eastAsia"/>
          <w:color w:val="auto"/>
          <w:szCs w:val="21"/>
          <w:lang w:bidi="ar"/>
        </w:rPr>
        <w:t>验收，确保其性能稳定，并符合设计要求</w:t>
      </w:r>
      <w:r>
        <w:rPr>
          <w:rFonts w:hint="eastAsia"/>
          <w:color w:val="auto"/>
          <w:szCs w:val="21"/>
          <w:lang w:eastAsia="zh-CN" w:bidi="ar"/>
        </w:rPr>
        <w:t>，</w:t>
      </w:r>
      <w:r>
        <w:rPr>
          <w:rFonts w:hint="eastAsia"/>
          <w:color w:val="auto"/>
          <w:szCs w:val="21"/>
          <w:lang w:val="en-US" w:eastAsia="zh-CN" w:bidi="ar"/>
        </w:rPr>
        <w:t>并</w:t>
      </w:r>
      <w:r>
        <w:rPr>
          <w:rFonts w:hint="eastAsia"/>
          <w:color w:val="auto"/>
          <w:szCs w:val="21"/>
          <w:lang w:bidi="ar"/>
        </w:rPr>
        <w:t>按照制造商提供的安装指南和国家相关标准进行安装</w:t>
      </w:r>
      <w:r>
        <w:rPr>
          <w:rFonts w:hint="eastAsia"/>
          <w:color w:val="auto"/>
          <w:szCs w:val="21"/>
          <w:lang w:eastAsia="zh-CN" w:bidi="ar"/>
        </w:rPr>
        <w:t>、</w:t>
      </w:r>
      <w:r>
        <w:rPr>
          <w:rFonts w:hint="eastAsia"/>
          <w:color w:val="auto"/>
          <w:szCs w:val="21"/>
          <w:lang w:bidi="ar"/>
        </w:rPr>
        <w:t>调试</w:t>
      </w:r>
      <w:r>
        <w:rPr>
          <w:rFonts w:hint="eastAsia"/>
          <w:color w:val="auto"/>
          <w:szCs w:val="21"/>
          <w:lang w:val="en-US" w:eastAsia="zh-CN" w:bidi="ar"/>
        </w:rPr>
        <w:t>合格，</w:t>
      </w:r>
      <w:r>
        <w:rPr>
          <w:rFonts w:hint="eastAsia"/>
          <w:color w:val="auto"/>
          <w:szCs w:val="21"/>
          <w:lang w:bidi="ar"/>
        </w:rPr>
        <w:t>确保正常运行。</w:t>
      </w:r>
    </w:p>
    <w:p w14:paraId="677245F5">
      <w:pPr>
        <w:pStyle w:val="171"/>
        <w:ind w:left="10" w:hanging="10" w:hangingChars="5"/>
        <w:textAlignment w:val="center"/>
        <w:rPr>
          <w:rFonts w:hint="eastAsia"/>
          <w:color w:val="auto"/>
          <w:szCs w:val="21"/>
          <w:lang w:bidi="ar"/>
        </w:rPr>
      </w:pPr>
      <w:r>
        <w:rPr>
          <w:rFonts w:hint="eastAsia"/>
          <w:color w:val="auto"/>
          <w:szCs w:val="21"/>
          <w:lang w:bidi="ar"/>
        </w:rPr>
        <w:t>企业应按照国家</w:t>
      </w:r>
      <w:r>
        <w:rPr>
          <w:rFonts w:hint="eastAsia"/>
          <w:color w:val="auto"/>
          <w:szCs w:val="21"/>
          <w:lang w:val="en-US" w:eastAsia="zh-CN" w:bidi="ar"/>
        </w:rPr>
        <w:t>和</w:t>
      </w:r>
      <w:r>
        <w:rPr>
          <w:rFonts w:hint="eastAsia"/>
          <w:color w:val="auto"/>
          <w:szCs w:val="21"/>
          <w:lang w:bidi="ar"/>
        </w:rPr>
        <w:t>行业标准规定，定期对安全设施进行</w:t>
      </w:r>
      <w:r>
        <w:rPr>
          <w:rFonts w:hint="eastAsia"/>
          <w:color w:val="auto"/>
          <w:szCs w:val="21"/>
          <w:lang w:val="en-US" w:eastAsia="zh-CN" w:bidi="ar"/>
        </w:rPr>
        <w:t>维护、保养</w:t>
      </w:r>
      <w:r>
        <w:rPr>
          <w:rFonts w:hint="eastAsia"/>
          <w:color w:val="auto"/>
          <w:szCs w:val="21"/>
          <w:lang w:bidi="ar"/>
        </w:rPr>
        <w:t>和功能检测，</w:t>
      </w:r>
      <w:r>
        <w:rPr>
          <w:rFonts w:hint="eastAsia" w:ascii="宋体" w:hAnsi="Times New Roman" w:eastAsia="宋体" w:cs="Times New Roman"/>
          <w:color w:val="auto"/>
          <w:szCs w:val="21"/>
          <w:lang w:bidi="ar"/>
        </w:rPr>
        <w:t>专人负责管理</w:t>
      </w:r>
      <w:r>
        <w:rPr>
          <w:rFonts w:hint="eastAsia"/>
          <w:color w:val="auto"/>
          <w:szCs w:val="21"/>
          <w:lang w:eastAsia="zh-CN" w:bidi="ar"/>
        </w:rPr>
        <w:t>。</w:t>
      </w:r>
      <w:r>
        <w:rPr>
          <w:rFonts w:hint="eastAsia"/>
          <w:color w:val="auto"/>
          <w:szCs w:val="21"/>
          <w:lang w:bidi="ar"/>
        </w:rPr>
        <w:t>对于老化、损坏无法修复或不符合</w:t>
      </w:r>
      <w:r>
        <w:rPr>
          <w:rFonts w:hint="eastAsia"/>
          <w:color w:val="auto"/>
          <w:szCs w:val="21"/>
          <w:lang w:val="en-US" w:eastAsia="zh-CN" w:bidi="ar"/>
        </w:rPr>
        <w:t>相关</w:t>
      </w:r>
      <w:r>
        <w:rPr>
          <w:rFonts w:hint="eastAsia"/>
          <w:color w:val="auto"/>
          <w:szCs w:val="21"/>
          <w:lang w:bidi="ar"/>
        </w:rPr>
        <w:t>标准</w:t>
      </w:r>
      <w:r>
        <w:rPr>
          <w:rFonts w:hint="eastAsia"/>
          <w:color w:val="auto"/>
          <w:szCs w:val="21"/>
          <w:lang w:val="en-US" w:eastAsia="zh-CN" w:bidi="ar"/>
        </w:rPr>
        <w:t>要求</w:t>
      </w:r>
      <w:r>
        <w:rPr>
          <w:rFonts w:hint="eastAsia"/>
          <w:color w:val="auto"/>
          <w:szCs w:val="21"/>
          <w:lang w:bidi="ar"/>
        </w:rPr>
        <w:t>的安全设施，应及时进行报废和更换。</w:t>
      </w:r>
    </w:p>
    <w:p w14:paraId="57AE3796">
      <w:pPr>
        <w:pStyle w:val="171"/>
        <w:ind w:left="10" w:hanging="10" w:hangingChars="5"/>
        <w:textAlignment w:val="center"/>
        <w:rPr>
          <w:color w:val="auto"/>
          <w:szCs w:val="21"/>
          <w:lang w:bidi="ar"/>
        </w:rPr>
      </w:pPr>
      <w:r>
        <w:rPr>
          <w:rFonts w:hint="eastAsia"/>
          <w:color w:val="auto"/>
          <w:szCs w:val="21"/>
          <w:lang w:val="en-US" w:eastAsia="zh-CN" w:bidi="ar"/>
        </w:rPr>
        <w:t>企业应定期进行</w:t>
      </w:r>
      <w:r>
        <w:rPr>
          <w:rFonts w:hint="eastAsia"/>
          <w:color w:val="auto"/>
          <w:szCs w:val="21"/>
          <w:lang w:bidi="ar"/>
        </w:rPr>
        <w:t>安全设施合规性审核，确保安全设施的</w:t>
      </w:r>
      <w:r>
        <w:rPr>
          <w:rFonts w:hint="eastAsia"/>
          <w:color w:val="auto"/>
          <w:szCs w:val="21"/>
          <w:lang w:val="en-US" w:eastAsia="zh-CN" w:bidi="ar"/>
        </w:rPr>
        <w:t>配备与</w:t>
      </w:r>
      <w:r>
        <w:rPr>
          <w:rFonts w:hint="eastAsia"/>
          <w:color w:val="auto"/>
          <w:szCs w:val="21"/>
          <w:lang w:bidi="ar"/>
        </w:rPr>
        <w:t>管理符合国家法律法规和行业标准的要求。</w:t>
      </w:r>
    </w:p>
    <w:p w14:paraId="4384BE61">
      <w:pPr>
        <w:pStyle w:val="171"/>
        <w:ind w:left="10" w:hanging="10" w:hangingChars="5"/>
        <w:textAlignment w:val="center"/>
        <w:rPr>
          <w:rFonts w:hint="eastAsia"/>
          <w:color w:val="auto"/>
          <w:szCs w:val="21"/>
          <w:lang w:bidi="ar"/>
        </w:rPr>
      </w:pPr>
      <w:r>
        <w:rPr>
          <w:rFonts w:hint="eastAsia"/>
          <w:color w:val="auto"/>
          <w:szCs w:val="21"/>
          <w:lang w:val="en-US" w:eastAsia="zh-CN" w:bidi="ar"/>
        </w:rPr>
        <w:t>企业应</w:t>
      </w:r>
      <w:r>
        <w:rPr>
          <w:rFonts w:hint="eastAsia"/>
          <w:color w:val="auto"/>
          <w:szCs w:val="21"/>
          <w:lang w:bidi="ar"/>
        </w:rPr>
        <w:t>建立安全设施</w:t>
      </w:r>
      <w:r>
        <w:rPr>
          <w:rFonts w:hint="eastAsia"/>
          <w:color w:val="auto"/>
          <w:szCs w:val="21"/>
          <w:lang w:val="en-US" w:eastAsia="zh-CN" w:bidi="ar"/>
        </w:rPr>
        <w:t>管理</w:t>
      </w:r>
      <w:r>
        <w:rPr>
          <w:rFonts w:hint="eastAsia"/>
          <w:color w:val="auto"/>
          <w:szCs w:val="21"/>
          <w:lang w:bidi="ar"/>
        </w:rPr>
        <w:t>档案，</w:t>
      </w:r>
      <w:r>
        <w:rPr>
          <w:rFonts w:hint="eastAsia"/>
          <w:color w:val="auto"/>
          <w:szCs w:val="21"/>
          <w:lang w:val="en-US" w:eastAsia="zh-CN" w:bidi="ar"/>
        </w:rPr>
        <w:t>内容包括</w:t>
      </w:r>
      <w:r>
        <w:rPr>
          <w:rFonts w:hint="eastAsia"/>
          <w:color w:val="auto"/>
          <w:szCs w:val="21"/>
          <w:lang w:bidi="ar"/>
        </w:rPr>
        <w:t>设计、采购、安装、使用、维护、检测、升级、</w:t>
      </w:r>
      <w:r>
        <w:rPr>
          <w:rFonts w:hint="eastAsia"/>
          <w:color w:val="auto"/>
          <w:szCs w:val="21"/>
          <w:lang w:val="en-US" w:eastAsia="zh-CN" w:bidi="ar"/>
        </w:rPr>
        <w:t>更换、</w:t>
      </w:r>
      <w:r>
        <w:rPr>
          <w:rFonts w:hint="eastAsia"/>
          <w:color w:val="auto"/>
          <w:szCs w:val="21"/>
          <w:lang w:bidi="ar"/>
        </w:rPr>
        <w:t>报废</w:t>
      </w:r>
      <w:r>
        <w:rPr>
          <w:rFonts w:hint="eastAsia"/>
          <w:color w:val="auto"/>
          <w:szCs w:val="21"/>
          <w:lang w:eastAsia="zh-CN" w:bidi="ar"/>
        </w:rPr>
        <w:t>、</w:t>
      </w:r>
      <w:r>
        <w:rPr>
          <w:rFonts w:hint="eastAsia"/>
          <w:color w:val="auto"/>
          <w:szCs w:val="21"/>
          <w:lang w:val="en-US" w:eastAsia="zh-CN" w:bidi="ar"/>
        </w:rPr>
        <w:t>审核</w:t>
      </w:r>
      <w:r>
        <w:rPr>
          <w:rFonts w:hint="eastAsia"/>
          <w:color w:val="auto"/>
          <w:szCs w:val="21"/>
          <w:lang w:bidi="ar"/>
        </w:rPr>
        <w:t>等全过程信息。</w:t>
      </w:r>
    </w:p>
    <w:p w14:paraId="76CC932A">
      <w:pPr>
        <w:pStyle w:val="79"/>
        <w:spacing w:before="160" w:after="160"/>
        <w:rPr>
          <w:color w:val="auto"/>
          <w:szCs w:val="21"/>
        </w:rPr>
      </w:pPr>
      <w:bookmarkStart w:id="966" w:name="_Toc4092"/>
      <w:bookmarkStart w:id="967" w:name="_Toc13527"/>
      <w:bookmarkStart w:id="968" w:name="_Toc7157"/>
      <w:bookmarkStart w:id="969" w:name="_Toc19990"/>
      <w:bookmarkStart w:id="970" w:name="_Toc29854"/>
      <w:bookmarkStart w:id="971" w:name="_Toc17555"/>
      <w:bookmarkStart w:id="972" w:name="_Toc30050"/>
      <w:bookmarkStart w:id="973" w:name="_Toc16669"/>
      <w:bookmarkStart w:id="974" w:name="_Toc8682"/>
      <w:bookmarkStart w:id="975" w:name="_Toc12947"/>
      <w:bookmarkStart w:id="976" w:name="_Toc1290"/>
      <w:bookmarkStart w:id="977" w:name="_Toc7206"/>
      <w:bookmarkStart w:id="978" w:name="_Toc12166"/>
      <w:bookmarkStart w:id="979" w:name="_Toc23965"/>
      <w:bookmarkStart w:id="980" w:name="_Toc24084"/>
      <w:bookmarkStart w:id="981" w:name="_Toc5189"/>
      <w:bookmarkStart w:id="982" w:name="_Toc6610"/>
      <w:bookmarkStart w:id="983" w:name="_Toc16778"/>
      <w:bookmarkStart w:id="984" w:name="_Toc32409"/>
      <w:bookmarkStart w:id="985" w:name="_Toc6951"/>
      <w:bookmarkStart w:id="986" w:name="_Toc7526"/>
      <w:bookmarkStart w:id="987" w:name="_Toc20347"/>
      <w:r>
        <w:rPr>
          <w:rFonts w:hint="eastAsia"/>
          <w:color w:val="auto"/>
          <w:szCs w:val="21"/>
        </w:rPr>
        <w:t>特种设备管理</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 w14:paraId="6E175A9F">
      <w:pPr>
        <w:pStyle w:val="171"/>
        <w:ind w:left="10" w:hanging="10" w:hangingChars="5"/>
        <w:textAlignment w:val="center"/>
        <w:rPr>
          <w:color w:val="auto"/>
          <w:szCs w:val="21"/>
          <w:lang w:bidi="ar"/>
        </w:rPr>
      </w:pPr>
      <w:r>
        <w:rPr>
          <w:rFonts w:hint="eastAsia"/>
          <w:color w:val="auto"/>
          <w:szCs w:val="21"/>
          <w:lang w:bidi="ar"/>
        </w:rPr>
        <w:t>企业应按照特种设备安全相关法律和标准，对特种设备进行规范管理</w:t>
      </w:r>
      <w:r>
        <w:rPr>
          <w:rFonts w:hint="eastAsia"/>
          <w:color w:val="auto"/>
          <w:szCs w:val="21"/>
          <w:lang w:eastAsia="zh-CN" w:bidi="ar"/>
        </w:rPr>
        <w:t>。</w:t>
      </w:r>
      <w:r>
        <w:rPr>
          <w:rFonts w:hint="eastAsia"/>
          <w:color w:val="auto"/>
          <w:szCs w:val="21"/>
          <w:lang w:val="en-US" w:eastAsia="zh-CN" w:bidi="ar"/>
        </w:rPr>
        <w:t>企业</w:t>
      </w:r>
      <w:r>
        <w:rPr>
          <w:rFonts w:hint="eastAsia"/>
          <w:color w:val="auto"/>
          <w:szCs w:val="21"/>
          <w:lang w:bidi="ar"/>
        </w:rPr>
        <w:t>应对使用的特种设备进行经常性维护保养和定期自行检查，</w:t>
      </w:r>
      <w:r>
        <w:rPr>
          <w:rFonts w:hint="eastAsia"/>
          <w:color w:val="auto"/>
          <w:szCs w:val="21"/>
          <w:lang w:val="en-US" w:eastAsia="zh-CN" w:bidi="ar"/>
        </w:rPr>
        <w:t>并</w:t>
      </w:r>
      <w:r>
        <w:rPr>
          <w:rFonts w:hint="eastAsia"/>
          <w:color w:val="auto"/>
          <w:szCs w:val="21"/>
          <w:lang w:bidi="ar"/>
        </w:rPr>
        <w:t>对特种设备的安全附件、安全保护装置进行定期校验、检修。未经定期检验或者检验不合格的特种设备，不得继续使用。</w:t>
      </w:r>
    </w:p>
    <w:p w14:paraId="41008D2A">
      <w:pPr>
        <w:pStyle w:val="171"/>
        <w:ind w:left="10" w:hanging="10" w:hangingChars="5"/>
        <w:textAlignment w:val="center"/>
        <w:rPr>
          <w:color w:val="auto"/>
          <w:szCs w:val="21"/>
          <w:lang w:bidi="ar"/>
        </w:rPr>
      </w:pPr>
      <w:r>
        <w:rPr>
          <w:rFonts w:hint="eastAsia"/>
          <w:color w:val="auto"/>
          <w:szCs w:val="21"/>
          <w:lang w:bidi="ar"/>
        </w:rPr>
        <w:t>特种设备存在严重事故隐患，无改造、修理价值，或者达到安全技术规范规定的其他报废条件的，</w:t>
      </w:r>
      <w:r>
        <w:rPr>
          <w:rFonts w:hint="eastAsia"/>
          <w:color w:val="auto"/>
          <w:szCs w:val="21"/>
          <w:lang w:val="en-US" w:eastAsia="zh-CN" w:bidi="ar"/>
        </w:rPr>
        <w:t>企业</w:t>
      </w:r>
      <w:r>
        <w:rPr>
          <w:rFonts w:hint="eastAsia"/>
          <w:color w:val="auto"/>
          <w:szCs w:val="21"/>
          <w:lang w:bidi="ar"/>
        </w:rPr>
        <w:t>应当依法履行报废义务，采取必要措施消除该特种设备的使用功能，并向原登记的负责特种设备安全监督管理的部门办理使用登记证书注销手续。</w:t>
      </w:r>
    </w:p>
    <w:p w14:paraId="1532212A">
      <w:pPr>
        <w:pStyle w:val="79"/>
        <w:spacing w:before="160" w:after="160"/>
        <w:rPr>
          <w:color w:val="auto"/>
          <w:szCs w:val="21"/>
        </w:rPr>
      </w:pPr>
      <w:bookmarkStart w:id="988" w:name="_Toc31462"/>
      <w:bookmarkStart w:id="989" w:name="_Toc8959"/>
      <w:bookmarkStart w:id="990" w:name="_Toc12528"/>
      <w:bookmarkStart w:id="991" w:name="_Toc9034"/>
      <w:bookmarkStart w:id="992" w:name="_Toc19011"/>
      <w:bookmarkStart w:id="993" w:name="_Toc15470"/>
      <w:bookmarkStart w:id="994" w:name="_Toc30010"/>
      <w:bookmarkStart w:id="995" w:name="_Toc26637"/>
      <w:bookmarkStart w:id="996" w:name="_Toc29740"/>
      <w:bookmarkStart w:id="997" w:name="_Toc30737"/>
      <w:bookmarkStart w:id="998" w:name="_Toc2212"/>
      <w:bookmarkStart w:id="999" w:name="_Toc19696"/>
      <w:bookmarkStart w:id="1000" w:name="_Toc15257"/>
      <w:bookmarkStart w:id="1001" w:name="_Toc4858"/>
      <w:bookmarkStart w:id="1002" w:name="_Toc25872"/>
      <w:bookmarkStart w:id="1003" w:name="_Toc6239"/>
      <w:bookmarkStart w:id="1004" w:name="_Toc25193"/>
      <w:bookmarkStart w:id="1005" w:name="_Toc26437"/>
      <w:bookmarkStart w:id="1006" w:name="_Toc7515"/>
      <w:bookmarkStart w:id="1007" w:name="_Toc32042"/>
      <w:bookmarkStart w:id="1008" w:name="_Toc18667"/>
      <w:bookmarkStart w:id="1009" w:name="_Toc21179"/>
      <w:r>
        <w:rPr>
          <w:rFonts w:hint="eastAsia"/>
          <w:color w:val="auto"/>
          <w:szCs w:val="21"/>
        </w:rPr>
        <w:t>安全仪表管理</w:t>
      </w:r>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14:paraId="7F3EB99D">
      <w:pPr>
        <w:pStyle w:val="171"/>
        <w:ind w:left="10" w:hanging="10" w:hangingChars="5"/>
        <w:textAlignment w:val="center"/>
        <w:rPr>
          <w:color w:val="auto"/>
          <w:szCs w:val="21"/>
          <w:lang w:bidi="ar"/>
        </w:rPr>
      </w:pPr>
      <w:r>
        <w:rPr>
          <w:rFonts w:hint="eastAsia"/>
          <w:color w:val="auto"/>
          <w:szCs w:val="21"/>
          <w:lang w:bidi="ar"/>
        </w:rPr>
        <w:t>企业应根据</w:t>
      </w:r>
      <w:r>
        <w:rPr>
          <w:rFonts w:hint="eastAsia"/>
          <w:color w:val="auto"/>
          <w:szCs w:val="21"/>
          <w:highlight w:val="none"/>
          <w:lang w:bidi="ar"/>
        </w:rPr>
        <w:t>危险化学品</w:t>
      </w:r>
      <w:r>
        <w:rPr>
          <w:rFonts w:hint="eastAsia"/>
          <w:color w:val="auto"/>
          <w:szCs w:val="21"/>
          <w:highlight w:val="none"/>
          <w:lang w:val="en-US" w:eastAsia="zh-CN" w:bidi="ar"/>
        </w:rPr>
        <w:t>危险</w:t>
      </w:r>
      <w:r>
        <w:rPr>
          <w:rFonts w:hint="eastAsia"/>
          <w:color w:val="auto"/>
          <w:szCs w:val="21"/>
          <w:highlight w:val="none"/>
          <w:lang w:bidi="ar"/>
        </w:rPr>
        <w:t>特性、工艺</w:t>
      </w:r>
      <w:r>
        <w:rPr>
          <w:rFonts w:hint="eastAsia"/>
          <w:color w:val="auto"/>
          <w:szCs w:val="21"/>
          <w:highlight w:val="none"/>
          <w:lang w:val="en-US" w:eastAsia="zh-CN" w:bidi="ar"/>
        </w:rPr>
        <w:t>过程</w:t>
      </w:r>
      <w:r>
        <w:rPr>
          <w:rFonts w:hint="eastAsia"/>
          <w:color w:val="auto"/>
          <w:szCs w:val="21"/>
          <w:highlight w:val="none"/>
          <w:lang w:bidi="ar"/>
        </w:rPr>
        <w:t>的复杂性</w:t>
      </w:r>
      <w:r>
        <w:rPr>
          <w:rFonts w:hint="eastAsia"/>
          <w:color w:val="auto"/>
          <w:szCs w:val="21"/>
          <w:highlight w:val="none"/>
          <w:lang w:val="en-US" w:eastAsia="zh-CN" w:bidi="ar"/>
        </w:rPr>
        <w:t>以及</w:t>
      </w:r>
      <w:r>
        <w:rPr>
          <w:rFonts w:hint="eastAsia"/>
          <w:color w:val="auto"/>
          <w:szCs w:val="21"/>
          <w:lang w:bidi="ar"/>
        </w:rPr>
        <w:t>危险、有害因素辨识和</w:t>
      </w:r>
      <w:r>
        <w:rPr>
          <w:rFonts w:hint="eastAsia"/>
          <w:color w:val="auto"/>
          <w:szCs w:val="21"/>
          <w:lang w:eastAsia="zh-CN" w:bidi="ar"/>
        </w:rPr>
        <w:t>安全风险</w:t>
      </w:r>
      <w:r>
        <w:rPr>
          <w:rFonts w:hint="eastAsia"/>
          <w:color w:val="auto"/>
          <w:szCs w:val="21"/>
          <w:lang w:bidi="ar"/>
        </w:rPr>
        <w:t>评价结果确定安全仪表</w:t>
      </w:r>
      <w:r>
        <w:rPr>
          <w:rFonts w:hint="eastAsia"/>
          <w:color w:val="auto"/>
          <w:szCs w:val="21"/>
          <w:lang w:val="en-US" w:eastAsia="zh-CN" w:bidi="ar"/>
        </w:rPr>
        <w:t>配置</w:t>
      </w:r>
      <w:r>
        <w:rPr>
          <w:rFonts w:hint="eastAsia"/>
          <w:color w:val="auto"/>
          <w:szCs w:val="21"/>
          <w:lang w:bidi="ar"/>
        </w:rPr>
        <w:t>范围</w:t>
      </w:r>
      <w:r>
        <w:rPr>
          <w:rFonts w:hint="eastAsia"/>
          <w:color w:val="auto"/>
          <w:szCs w:val="21"/>
          <w:lang w:val="en-US" w:eastAsia="zh-CN" w:bidi="ar"/>
        </w:rPr>
        <w:t>和要求</w:t>
      </w:r>
      <w:r>
        <w:rPr>
          <w:rFonts w:hint="eastAsia"/>
          <w:color w:val="auto"/>
          <w:szCs w:val="21"/>
          <w:lang w:bidi="ar"/>
        </w:rPr>
        <w:t>，</w:t>
      </w:r>
      <w:r>
        <w:rPr>
          <w:rFonts w:hint="eastAsia"/>
          <w:color w:val="auto"/>
          <w:szCs w:val="21"/>
          <w:lang w:val="en-US" w:eastAsia="zh-CN" w:bidi="ar"/>
        </w:rPr>
        <w:t>并</w:t>
      </w:r>
      <w:r>
        <w:rPr>
          <w:rFonts w:hint="eastAsia"/>
          <w:color w:val="auto"/>
          <w:szCs w:val="21"/>
          <w:lang w:bidi="ar"/>
        </w:rPr>
        <w:t>配备专门人员负责相关技术和管理工作。</w:t>
      </w:r>
    </w:p>
    <w:p w14:paraId="15C5335A">
      <w:pPr>
        <w:pStyle w:val="171"/>
        <w:ind w:left="10" w:hanging="10" w:hangingChars="5"/>
        <w:textAlignment w:val="center"/>
        <w:rPr>
          <w:rFonts w:hint="eastAsia"/>
          <w:color w:val="auto"/>
          <w:szCs w:val="21"/>
          <w:highlight w:val="none"/>
          <w:lang w:bidi="ar"/>
        </w:rPr>
      </w:pPr>
      <w:r>
        <w:rPr>
          <w:rFonts w:hint="eastAsia"/>
          <w:color w:val="auto"/>
          <w:szCs w:val="21"/>
          <w:highlight w:val="none"/>
          <w:lang w:val="en-US" w:eastAsia="zh-CN" w:bidi="ar"/>
        </w:rPr>
        <w:t>企业应</w:t>
      </w:r>
      <w:r>
        <w:rPr>
          <w:rFonts w:hint="eastAsia"/>
          <w:color w:val="auto"/>
          <w:szCs w:val="21"/>
          <w:highlight w:val="none"/>
          <w:lang w:bidi="ar"/>
        </w:rPr>
        <w:t>依据国家和行业标准，对安全仪表系统进行安全完整性等级评估，确保系统设计满足预定的安全功能</w:t>
      </w:r>
      <w:r>
        <w:rPr>
          <w:rFonts w:hint="eastAsia"/>
          <w:color w:val="auto"/>
          <w:szCs w:val="21"/>
          <w:highlight w:val="none"/>
          <w:lang w:eastAsia="zh-CN" w:bidi="ar"/>
        </w:rPr>
        <w:t>，</w:t>
      </w:r>
      <w:r>
        <w:rPr>
          <w:rFonts w:hint="eastAsia"/>
          <w:color w:val="auto"/>
          <w:szCs w:val="21"/>
          <w:highlight w:val="none"/>
          <w:lang w:bidi="ar"/>
        </w:rPr>
        <w:t>选择符合安全性能要求的仪表设备，并按照相关规范正确安装。</w:t>
      </w:r>
    </w:p>
    <w:p w14:paraId="002EB3C1">
      <w:pPr>
        <w:pStyle w:val="171"/>
        <w:ind w:left="10" w:hanging="10" w:hangingChars="5"/>
        <w:textAlignment w:val="center"/>
        <w:rPr>
          <w:rFonts w:hint="eastAsia"/>
          <w:color w:val="auto"/>
          <w:szCs w:val="21"/>
          <w:highlight w:val="none"/>
          <w:lang w:bidi="ar"/>
        </w:rPr>
      </w:pPr>
      <w:r>
        <w:rPr>
          <w:rFonts w:hint="eastAsia"/>
          <w:color w:val="auto"/>
          <w:szCs w:val="21"/>
          <w:highlight w:val="none"/>
          <w:lang w:val="en-US" w:eastAsia="zh-CN" w:bidi="ar"/>
        </w:rPr>
        <w:t>企业应</w:t>
      </w:r>
      <w:r>
        <w:rPr>
          <w:rFonts w:hint="eastAsia"/>
          <w:color w:val="auto"/>
          <w:szCs w:val="21"/>
          <w:highlight w:val="none"/>
          <w:lang w:bidi="ar"/>
        </w:rPr>
        <w:t>建立和执行定期的维护与校准计划，确保安全仪表的准确性和可靠性。定期对安全仪表系统进行功能安全评估，确保其在生产过程中能够可靠地执行安全功能。</w:t>
      </w:r>
    </w:p>
    <w:p w14:paraId="4AF86CAC">
      <w:pPr>
        <w:pStyle w:val="171"/>
        <w:ind w:left="10" w:hanging="10" w:hangingChars="5"/>
        <w:textAlignment w:val="center"/>
        <w:rPr>
          <w:rFonts w:hint="eastAsia"/>
          <w:color w:val="auto"/>
          <w:szCs w:val="21"/>
          <w:highlight w:val="none"/>
          <w:lang w:bidi="ar"/>
        </w:rPr>
      </w:pPr>
      <w:r>
        <w:rPr>
          <w:rFonts w:hint="eastAsia"/>
          <w:color w:val="auto"/>
          <w:szCs w:val="21"/>
          <w:lang w:val="en-US" w:eastAsia="zh-CN" w:bidi="ar"/>
        </w:rPr>
        <w:t>企业应</w:t>
      </w:r>
      <w:r>
        <w:rPr>
          <w:rFonts w:hint="eastAsia"/>
          <w:color w:val="auto"/>
          <w:szCs w:val="21"/>
          <w:highlight w:val="none"/>
          <w:lang w:bidi="ar"/>
        </w:rPr>
        <w:t>建立故障检测机制，一旦发现安全仪表故障，应立即采取相应的安全措施，并进行修复或更换。</w:t>
      </w:r>
    </w:p>
    <w:p w14:paraId="6088CE95">
      <w:pPr>
        <w:pStyle w:val="79"/>
        <w:spacing w:before="160" w:after="160"/>
        <w:rPr>
          <w:color w:val="auto"/>
          <w:szCs w:val="21"/>
        </w:rPr>
      </w:pPr>
      <w:bookmarkStart w:id="1010" w:name="_Toc16554"/>
      <w:bookmarkStart w:id="1011" w:name="_Toc20209"/>
      <w:bookmarkStart w:id="1012" w:name="_Toc21534"/>
      <w:bookmarkStart w:id="1013" w:name="_Toc1598"/>
      <w:bookmarkStart w:id="1014" w:name="_Toc32476"/>
      <w:bookmarkStart w:id="1015" w:name="_Toc23207"/>
      <w:bookmarkStart w:id="1016" w:name="_Toc6994"/>
      <w:bookmarkStart w:id="1017" w:name="_Toc2573"/>
      <w:bookmarkStart w:id="1018" w:name="_Toc32270"/>
      <w:bookmarkStart w:id="1019" w:name="_Toc1374"/>
      <w:bookmarkStart w:id="1020" w:name="_Toc1072"/>
      <w:bookmarkStart w:id="1021" w:name="_Toc8052"/>
      <w:bookmarkStart w:id="1022" w:name="_Toc11137"/>
      <w:bookmarkStart w:id="1023" w:name="_Toc2304"/>
      <w:bookmarkStart w:id="1024" w:name="_Toc4272"/>
      <w:bookmarkStart w:id="1025" w:name="_Toc12938"/>
      <w:bookmarkStart w:id="1026" w:name="_Toc11423"/>
      <w:bookmarkStart w:id="1027" w:name="_Toc5585"/>
      <w:bookmarkStart w:id="1028" w:name="_Toc14612"/>
      <w:bookmarkStart w:id="1029" w:name="_Toc5071"/>
      <w:bookmarkStart w:id="1030" w:name="_Toc3021"/>
      <w:bookmarkStart w:id="1031" w:name="_Toc6417"/>
      <w:r>
        <w:rPr>
          <w:rFonts w:hint="eastAsia"/>
          <w:color w:val="auto"/>
          <w:szCs w:val="21"/>
        </w:rPr>
        <w:t>设备完好性数据库</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14:paraId="7273712C">
      <w:pPr>
        <w:pStyle w:val="171"/>
        <w:ind w:left="10" w:hanging="10" w:hangingChars="5"/>
        <w:textAlignment w:val="center"/>
        <w:rPr>
          <w:color w:val="auto"/>
          <w:szCs w:val="21"/>
          <w:lang w:bidi="ar"/>
        </w:rPr>
      </w:pPr>
      <w:r>
        <w:rPr>
          <w:rFonts w:hint="eastAsia"/>
          <w:color w:val="auto"/>
          <w:szCs w:val="21"/>
          <w:lang w:bidi="ar"/>
        </w:rPr>
        <w:t>企业应建立设备完好性数据库，对设备的基础数据、运行参数、检验检测数据、维修维护数据、缺陷数据等纳入数据库进行统一管理。</w:t>
      </w:r>
    </w:p>
    <w:p w14:paraId="2628F46F">
      <w:pPr>
        <w:pStyle w:val="171"/>
        <w:ind w:left="10" w:hanging="10" w:hangingChars="5"/>
        <w:textAlignment w:val="center"/>
        <w:rPr>
          <w:color w:val="auto"/>
          <w:szCs w:val="21"/>
          <w:lang w:bidi="ar"/>
        </w:rPr>
      </w:pPr>
      <w:r>
        <w:rPr>
          <w:rFonts w:hint="eastAsia"/>
          <w:color w:val="auto"/>
          <w:szCs w:val="21"/>
          <w:lang w:bidi="ar"/>
        </w:rPr>
        <w:t>企业应组织对数据库中的各项数据进行分析研究，用以指导设备的分级管理、检验测试、预防性维修等各项工作。</w:t>
      </w:r>
    </w:p>
    <w:p w14:paraId="6A5CD1D1">
      <w:pPr>
        <w:pStyle w:val="114"/>
        <w:spacing w:before="160" w:after="160"/>
        <w:rPr>
          <w:color w:val="auto"/>
          <w:szCs w:val="21"/>
        </w:rPr>
      </w:pPr>
      <w:bookmarkStart w:id="1032" w:name="_Toc6945"/>
      <w:bookmarkStart w:id="1033" w:name="_Toc23779"/>
      <w:bookmarkStart w:id="1034" w:name="_Toc928"/>
      <w:bookmarkStart w:id="1035" w:name="_Toc14563"/>
      <w:bookmarkStart w:id="1036" w:name="_Toc8364"/>
      <w:bookmarkStart w:id="1037" w:name="_Toc14644"/>
      <w:bookmarkStart w:id="1038" w:name="_Toc12278"/>
      <w:bookmarkStart w:id="1039" w:name="_Toc13303"/>
      <w:bookmarkStart w:id="1040" w:name="_Toc8599"/>
      <w:bookmarkStart w:id="1041" w:name="_Toc26874"/>
      <w:bookmarkStart w:id="1042" w:name="_Toc19862"/>
      <w:bookmarkStart w:id="1043" w:name="_Toc18421"/>
      <w:bookmarkStart w:id="1044" w:name="_Toc25300"/>
      <w:bookmarkStart w:id="1045" w:name="_Toc30214"/>
      <w:bookmarkStart w:id="1046" w:name="_Toc13453"/>
      <w:bookmarkStart w:id="1047" w:name="_Toc18861"/>
      <w:bookmarkStart w:id="1048" w:name="_Toc157"/>
      <w:bookmarkStart w:id="1049" w:name="_Toc6779"/>
      <w:bookmarkStart w:id="1050" w:name="_Toc31948"/>
      <w:bookmarkStart w:id="1051" w:name="_Toc9693"/>
      <w:bookmarkStart w:id="1052" w:name="_Toc12620"/>
      <w:bookmarkStart w:id="1053" w:name="_Toc18057"/>
      <w:r>
        <w:rPr>
          <w:rFonts w:hint="eastAsia"/>
          <w:color w:val="auto"/>
          <w:szCs w:val="21"/>
        </w:rPr>
        <w:t>作业安全</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14:paraId="679635ED">
      <w:pPr>
        <w:pStyle w:val="79"/>
        <w:spacing w:before="160" w:after="160"/>
        <w:rPr>
          <w:color w:val="auto"/>
          <w:szCs w:val="21"/>
        </w:rPr>
      </w:pPr>
      <w:bookmarkStart w:id="1054" w:name="_Toc8945"/>
      <w:bookmarkStart w:id="1055" w:name="_Toc6827"/>
      <w:bookmarkStart w:id="1056" w:name="_Toc13114"/>
      <w:bookmarkStart w:id="1057" w:name="_Toc20491"/>
      <w:bookmarkStart w:id="1058" w:name="_Toc14978"/>
      <w:bookmarkStart w:id="1059" w:name="_Toc30399"/>
      <w:bookmarkStart w:id="1060" w:name="_Toc9778"/>
      <w:bookmarkStart w:id="1061" w:name="_Toc15203"/>
      <w:bookmarkStart w:id="1062" w:name="_Toc19753"/>
      <w:bookmarkStart w:id="1063" w:name="_Toc17608"/>
      <w:bookmarkStart w:id="1064" w:name="_Toc16368"/>
      <w:bookmarkStart w:id="1065" w:name="_Toc25903"/>
      <w:bookmarkStart w:id="1066" w:name="_Toc3915"/>
      <w:bookmarkStart w:id="1067" w:name="_Toc8316"/>
      <w:bookmarkStart w:id="1068" w:name="_Toc15658"/>
      <w:bookmarkStart w:id="1069" w:name="_Toc14440"/>
      <w:bookmarkStart w:id="1070" w:name="_Toc1574"/>
      <w:bookmarkStart w:id="1071" w:name="_Toc19355"/>
      <w:bookmarkStart w:id="1072" w:name="_Toc12834"/>
      <w:bookmarkStart w:id="1073" w:name="_Toc30593"/>
      <w:bookmarkStart w:id="1074" w:name="_Toc24090"/>
      <w:bookmarkStart w:id="1075" w:name="_Toc23257"/>
      <w:r>
        <w:rPr>
          <w:rFonts w:hint="eastAsia"/>
          <w:color w:val="auto"/>
          <w:szCs w:val="21"/>
        </w:rPr>
        <w:t>作业许可管理</w:t>
      </w:r>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p>
    <w:p w14:paraId="658B275F">
      <w:pPr>
        <w:pStyle w:val="171"/>
        <w:ind w:left="10" w:hanging="10" w:hangingChars="5"/>
        <w:textAlignment w:val="center"/>
        <w:rPr>
          <w:color w:val="auto"/>
          <w:szCs w:val="21"/>
          <w:lang w:bidi="ar"/>
        </w:rPr>
      </w:pPr>
      <w:r>
        <w:rPr>
          <w:rFonts w:hint="eastAsia"/>
          <w:color w:val="auto"/>
          <w:szCs w:val="21"/>
          <w:lang w:bidi="ar"/>
        </w:rPr>
        <w:t>企业应</w:t>
      </w:r>
      <w:r>
        <w:rPr>
          <w:rFonts w:hint="eastAsia" w:hAnsi="宋体" w:cs="宋体"/>
          <w:color w:val="auto"/>
          <w:szCs w:val="21"/>
          <w:lang w:bidi="ar"/>
        </w:rPr>
        <w:t>明确作业许可范围、作业</w:t>
      </w:r>
      <w:r>
        <w:rPr>
          <w:rFonts w:hint="eastAsia" w:hAnsi="宋体" w:cs="宋体"/>
          <w:color w:val="auto"/>
          <w:szCs w:val="21"/>
          <w:lang w:eastAsia="zh-CN" w:bidi="ar"/>
        </w:rPr>
        <w:t>安全风险</w:t>
      </w:r>
      <w:r>
        <w:rPr>
          <w:rFonts w:hint="eastAsia" w:hAnsi="宋体" w:cs="宋体"/>
          <w:color w:val="auto"/>
          <w:szCs w:val="21"/>
          <w:lang w:bidi="ar"/>
        </w:rPr>
        <w:t>管控措施、作业许可类别分级与审批权限等内容。</w:t>
      </w:r>
    </w:p>
    <w:p w14:paraId="53597A2B">
      <w:pPr>
        <w:pStyle w:val="171"/>
        <w:ind w:left="10" w:hanging="10" w:hangingChars="5"/>
        <w:textAlignment w:val="center"/>
        <w:rPr>
          <w:color w:val="auto"/>
          <w:szCs w:val="21"/>
          <w:lang w:bidi="ar"/>
        </w:rPr>
      </w:pPr>
      <w:r>
        <w:rPr>
          <w:rFonts w:hint="eastAsia"/>
          <w:color w:val="auto"/>
          <w:szCs w:val="21"/>
          <w:lang w:bidi="ar"/>
        </w:rPr>
        <w:t>企业应对</w:t>
      </w:r>
      <w:r>
        <w:rPr>
          <w:color w:val="auto"/>
          <w:szCs w:val="21"/>
          <w:lang w:bidi="ar"/>
        </w:rPr>
        <w:t>GB 30871规定的</w:t>
      </w:r>
      <w:r>
        <w:rPr>
          <w:rFonts w:hint="eastAsia"/>
          <w:color w:val="auto"/>
          <w:szCs w:val="21"/>
          <w:lang w:bidi="ar"/>
        </w:rPr>
        <w:t>特殊作业、非常规作业以及</w:t>
      </w:r>
      <w:r>
        <w:rPr>
          <w:rFonts w:hint="eastAsia" w:hAnsi="宋体" w:cs="宋体"/>
          <w:color w:val="auto"/>
          <w:szCs w:val="21"/>
        </w:rPr>
        <w:t>企业认为需要通过</w:t>
      </w:r>
      <w:r>
        <w:rPr>
          <w:rFonts w:hint="eastAsia" w:hAnsi="宋体" w:cs="宋体"/>
          <w:color w:val="auto"/>
          <w:szCs w:val="21"/>
          <w:highlight w:val="none"/>
        </w:rPr>
        <w:t>许可管理</w:t>
      </w:r>
      <w:r>
        <w:rPr>
          <w:rFonts w:hint="eastAsia" w:hAnsi="宋体" w:cs="宋体"/>
          <w:color w:val="auto"/>
          <w:szCs w:val="21"/>
        </w:rPr>
        <w:t>的其他作业</w:t>
      </w:r>
      <w:r>
        <w:rPr>
          <w:rFonts w:hint="eastAsia"/>
          <w:color w:val="auto"/>
          <w:szCs w:val="21"/>
          <w:lang w:bidi="ar"/>
        </w:rPr>
        <w:t>实施许可管理。</w:t>
      </w:r>
      <w:r>
        <w:rPr>
          <w:rFonts w:hint="eastAsia"/>
          <w:color w:val="auto"/>
          <w:szCs w:val="21"/>
          <w:lang w:val="en-US" w:eastAsia="zh-CN" w:bidi="ar"/>
        </w:rPr>
        <w:t>鼓励</w:t>
      </w:r>
      <w:r>
        <w:rPr>
          <w:rFonts w:hint="default"/>
          <w:color w:val="auto"/>
          <w:szCs w:val="21"/>
          <w:lang w:eastAsia="zh-CN" w:bidi="ar"/>
        </w:rPr>
        <w:t>企业使用</w:t>
      </w:r>
      <w:r>
        <w:rPr>
          <w:rFonts w:hint="eastAsia"/>
          <w:color w:val="auto"/>
          <w:szCs w:val="21"/>
          <w:lang w:val="en-US" w:eastAsia="zh-CN" w:bidi="ar"/>
        </w:rPr>
        <w:t>电子作业票</w:t>
      </w:r>
      <w:r>
        <w:rPr>
          <w:rFonts w:hint="default"/>
          <w:color w:val="auto"/>
          <w:szCs w:val="21"/>
          <w:lang w:eastAsia="zh-CN" w:bidi="ar"/>
        </w:rPr>
        <w:t>管理</w:t>
      </w:r>
      <w:r>
        <w:rPr>
          <w:rFonts w:hint="eastAsia"/>
          <w:color w:val="auto"/>
          <w:szCs w:val="21"/>
          <w:lang w:val="en-US" w:eastAsia="zh-CN" w:bidi="ar"/>
        </w:rPr>
        <w:t>系统</w:t>
      </w:r>
      <w:r>
        <w:rPr>
          <w:rFonts w:hint="default"/>
          <w:color w:val="auto"/>
          <w:szCs w:val="21"/>
          <w:lang w:eastAsia="zh-CN" w:bidi="ar"/>
        </w:rPr>
        <w:t>开展许可作业管控。</w:t>
      </w:r>
    </w:p>
    <w:p w14:paraId="10D7978F">
      <w:pPr>
        <w:pStyle w:val="79"/>
        <w:spacing w:before="160" w:after="160"/>
        <w:rPr>
          <w:color w:val="auto"/>
          <w:szCs w:val="21"/>
        </w:rPr>
      </w:pPr>
      <w:bookmarkStart w:id="1076" w:name="_Toc15056"/>
      <w:bookmarkStart w:id="1077" w:name="_Toc14350"/>
      <w:bookmarkStart w:id="1078" w:name="_Toc5574"/>
      <w:bookmarkStart w:id="1079" w:name="_Toc9713"/>
      <w:bookmarkStart w:id="1080" w:name="_Toc6829"/>
      <w:bookmarkStart w:id="1081" w:name="_Toc23232"/>
      <w:bookmarkStart w:id="1082" w:name="_Toc20327"/>
      <w:bookmarkStart w:id="1083" w:name="_Toc17048"/>
      <w:bookmarkStart w:id="1084" w:name="_Toc3857"/>
      <w:bookmarkStart w:id="1085" w:name="_Toc22918"/>
      <w:bookmarkStart w:id="1086" w:name="_Toc9865"/>
      <w:bookmarkStart w:id="1087" w:name="_Toc16079"/>
      <w:bookmarkStart w:id="1088" w:name="_Toc11497"/>
      <w:bookmarkStart w:id="1089" w:name="_Toc11975"/>
      <w:bookmarkStart w:id="1090" w:name="_Toc7981"/>
      <w:bookmarkStart w:id="1091" w:name="_Toc12949"/>
      <w:bookmarkStart w:id="1092" w:name="_Toc32060"/>
      <w:bookmarkStart w:id="1093" w:name="_Toc24352"/>
      <w:bookmarkStart w:id="1094" w:name="_Toc20247"/>
      <w:bookmarkStart w:id="1095" w:name="_Toc17021"/>
      <w:bookmarkStart w:id="1096" w:name="_Toc558"/>
      <w:r>
        <w:rPr>
          <w:rFonts w:hint="eastAsia"/>
          <w:color w:val="auto"/>
          <w:szCs w:val="21"/>
        </w:rPr>
        <w:t>作业风险分析</w:t>
      </w:r>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p>
    <w:p w14:paraId="324FA3D5">
      <w:pPr>
        <w:pStyle w:val="171"/>
        <w:ind w:left="10" w:hanging="10" w:hangingChars="5"/>
        <w:textAlignment w:val="center"/>
        <w:rPr>
          <w:color w:val="auto"/>
          <w:szCs w:val="21"/>
          <w:lang w:bidi="ar"/>
        </w:rPr>
      </w:pPr>
      <w:r>
        <w:rPr>
          <w:rFonts w:hint="eastAsia"/>
          <w:color w:val="auto"/>
          <w:szCs w:val="21"/>
          <w:lang w:bidi="ar"/>
        </w:rPr>
        <w:t>企业在特殊作业、非常规作业</w:t>
      </w:r>
      <w:r>
        <w:rPr>
          <w:rFonts w:hint="eastAsia"/>
          <w:color w:val="auto"/>
          <w:szCs w:val="21"/>
          <w:lang w:val="en-US" w:eastAsia="zh-CN" w:bidi="ar"/>
        </w:rPr>
        <w:t>实施</w:t>
      </w:r>
      <w:r>
        <w:rPr>
          <w:rFonts w:hint="eastAsia"/>
          <w:color w:val="auto"/>
          <w:szCs w:val="21"/>
          <w:lang w:bidi="ar"/>
        </w:rPr>
        <w:t>前</w:t>
      </w:r>
      <w:r>
        <w:rPr>
          <w:rFonts w:hint="eastAsia"/>
          <w:color w:val="auto"/>
          <w:szCs w:val="21"/>
          <w:lang w:val="en-US" w:eastAsia="zh-CN" w:bidi="ar"/>
        </w:rPr>
        <w:t>应</w:t>
      </w:r>
      <w:r>
        <w:rPr>
          <w:rFonts w:hint="eastAsia"/>
          <w:color w:val="auto"/>
          <w:szCs w:val="21"/>
          <w:lang w:bidi="ar"/>
        </w:rPr>
        <w:t>开展作业</w:t>
      </w:r>
      <w:r>
        <w:rPr>
          <w:rFonts w:hint="eastAsia"/>
          <w:color w:val="auto"/>
          <w:szCs w:val="21"/>
          <w:lang w:eastAsia="zh-CN" w:bidi="ar"/>
        </w:rPr>
        <w:t>安全风险</w:t>
      </w:r>
      <w:r>
        <w:rPr>
          <w:rFonts w:hint="eastAsia"/>
          <w:color w:val="auto"/>
          <w:szCs w:val="21"/>
          <w:lang w:bidi="ar"/>
        </w:rPr>
        <w:t>分析。当工艺条件、作业条件、作业方式或作业环境改变时，应重新进行</w:t>
      </w:r>
      <w:r>
        <w:rPr>
          <w:rFonts w:hint="eastAsia"/>
          <w:color w:val="auto"/>
          <w:szCs w:val="21"/>
          <w:lang w:eastAsia="zh-CN" w:bidi="ar"/>
        </w:rPr>
        <w:t>安全风险</w:t>
      </w:r>
      <w:r>
        <w:rPr>
          <w:rFonts w:hint="eastAsia"/>
          <w:color w:val="auto"/>
          <w:szCs w:val="21"/>
          <w:lang w:bidi="ar"/>
        </w:rPr>
        <w:t>分析。</w:t>
      </w:r>
    </w:p>
    <w:p w14:paraId="535F5745">
      <w:pPr>
        <w:pStyle w:val="171"/>
        <w:ind w:left="10" w:hanging="10" w:hangingChars="5"/>
        <w:textAlignment w:val="center"/>
        <w:rPr>
          <w:color w:val="auto"/>
          <w:szCs w:val="21"/>
          <w:lang w:bidi="ar"/>
        </w:rPr>
      </w:pPr>
      <w:r>
        <w:rPr>
          <w:rFonts w:hint="eastAsia"/>
          <w:color w:val="auto"/>
          <w:szCs w:val="21"/>
          <w:lang w:bidi="ar"/>
        </w:rPr>
        <w:t>企业应根据</w:t>
      </w:r>
      <w:r>
        <w:rPr>
          <w:rFonts w:hint="eastAsia"/>
          <w:color w:val="auto"/>
          <w:szCs w:val="21"/>
          <w:lang w:eastAsia="zh-CN" w:bidi="ar"/>
        </w:rPr>
        <w:t>安全风险</w:t>
      </w:r>
      <w:r>
        <w:rPr>
          <w:rFonts w:hint="eastAsia"/>
          <w:color w:val="auto"/>
          <w:szCs w:val="21"/>
          <w:lang w:bidi="ar"/>
        </w:rPr>
        <w:t>分析结果，</w:t>
      </w:r>
      <w:r>
        <w:rPr>
          <w:rFonts w:hint="eastAsia"/>
          <w:color w:val="auto"/>
          <w:szCs w:val="21"/>
          <w:lang w:val="en-US" w:eastAsia="zh-CN" w:bidi="ar"/>
        </w:rPr>
        <w:t>制定</w:t>
      </w:r>
      <w:r>
        <w:rPr>
          <w:rFonts w:hint="eastAsia"/>
          <w:color w:val="auto"/>
          <w:szCs w:val="21"/>
          <w:lang w:bidi="ar"/>
        </w:rPr>
        <w:t>相应的</w:t>
      </w:r>
      <w:r>
        <w:rPr>
          <w:rFonts w:hint="eastAsia"/>
          <w:color w:val="auto"/>
          <w:szCs w:val="21"/>
          <w:lang w:eastAsia="zh-CN" w:bidi="ar"/>
        </w:rPr>
        <w:t>安全风险</w:t>
      </w:r>
      <w:r>
        <w:rPr>
          <w:rFonts w:hint="eastAsia"/>
          <w:color w:val="auto"/>
          <w:szCs w:val="21"/>
          <w:lang w:bidi="ar"/>
        </w:rPr>
        <w:t>控制措施。</w:t>
      </w:r>
    </w:p>
    <w:p w14:paraId="698BD8EF">
      <w:pPr>
        <w:pStyle w:val="79"/>
        <w:spacing w:before="160" w:after="160"/>
        <w:rPr>
          <w:color w:val="auto"/>
          <w:szCs w:val="21"/>
        </w:rPr>
      </w:pPr>
      <w:bookmarkStart w:id="1097" w:name="_Toc16365"/>
      <w:bookmarkStart w:id="1098" w:name="_Toc24650"/>
      <w:bookmarkStart w:id="1099" w:name="_Toc3383"/>
      <w:bookmarkStart w:id="1100" w:name="_Toc20482"/>
      <w:bookmarkStart w:id="1101" w:name="_Toc2487"/>
      <w:bookmarkStart w:id="1102" w:name="_Toc18541"/>
      <w:bookmarkStart w:id="1103" w:name="_Toc22465"/>
      <w:bookmarkStart w:id="1104" w:name="_Toc22819"/>
      <w:bookmarkStart w:id="1105" w:name="_Toc1024"/>
      <w:bookmarkStart w:id="1106" w:name="_Toc24082"/>
      <w:bookmarkStart w:id="1107" w:name="_Toc29408"/>
      <w:bookmarkStart w:id="1108" w:name="_Toc1309"/>
      <w:bookmarkStart w:id="1109" w:name="_Toc11582"/>
      <w:bookmarkStart w:id="1110" w:name="_Toc10873"/>
      <w:bookmarkStart w:id="1111" w:name="_Toc20776"/>
      <w:bookmarkStart w:id="1112" w:name="_Toc12482"/>
      <w:bookmarkStart w:id="1113" w:name="_Toc21510"/>
      <w:bookmarkStart w:id="1114" w:name="_Toc3645"/>
      <w:bookmarkStart w:id="1115" w:name="_Toc16003"/>
      <w:bookmarkStart w:id="1116" w:name="_Toc20753"/>
      <w:bookmarkStart w:id="1117" w:name="_Toc21108"/>
      <w:bookmarkStart w:id="1118" w:name="_Toc28958"/>
      <w:r>
        <w:rPr>
          <w:rFonts w:hint="eastAsia"/>
          <w:color w:val="auto"/>
          <w:szCs w:val="21"/>
        </w:rPr>
        <w:t>作业过程安全管控</w:t>
      </w:r>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p>
    <w:p w14:paraId="5E8D9979">
      <w:pPr>
        <w:pStyle w:val="171"/>
        <w:ind w:left="10" w:hanging="10" w:hangingChars="5"/>
        <w:textAlignment w:val="center"/>
        <w:rPr>
          <w:color w:val="auto"/>
          <w:szCs w:val="21"/>
          <w:lang w:bidi="ar"/>
        </w:rPr>
      </w:pPr>
      <w:r>
        <w:rPr>
          <w:rFonts w:hint="eastAsia"/>
          <w:color w:val="auto"/>
          <w:szCs w:val="21"/>
          <w:lang w:bidi="ar"/>
        </w:rPr>
        <w:t>企业应对作业现场进行检查，发现隐患及时采取措施消除。</w:t>
      </w:r>
    </w:p>
    <w:p w14:paraId="7E6FE7EE">
      <w:pPr>
        <w:pStyle w:val="171"/>
        <w:ind w:left="10" w:hanging="10" w:hangingChars="5"/>
        <w:textAlignment w:val="center"/>
        <w:rPr>
          <w:color w:val="auto"/>
          <w:szCs w:val="21"/>
          <w:highlight w:val="none"/>
          <w:lang w:bidi="ar"/>
        </w:rPr>
      </w:pPr>
      <w:r>
        <w:rPr>
          <w:rFonts w:hint="eastAsia"/>
          <w:color w:val="auto"/>
          <w:szCs w:val="21"/>
          <w:highlight w:val="none"/>
          <w:lang w:bidi="ar"/>
        </w:rPr>
        <w:t>企业应对实施许可管理的作业活动设置监护人</w:t>
      </w:r>
      <w:r>
        <w:rPr>
          <w:rFonts w:hint="eastAsia"/>
          <w:color w:val="auto"/>
          <w:szCs w:val="21"/>
          <w:highlight w:val="none"/>
          <w:lang w:val="en-US" w:eastAsia="zh-CN" w:bidi="ar"/>
        </w:rPr>
        <w:t>进行现场监护</w:t>
      </w:r>
      <w:r>
        <w:rPr>
          <w:rFonts w:hint="eastAsia"/>
          <w:color w:val="auto"/>
          <w:szCs w:val="21"/>
          <w:highlight w:val="none"/>
          <w:lang w:bidi="ar"/>
        </w:rPr>
        <w:t>，监护人应具备基本救护技能和作业现场的应急处理能力</w:t>
      </w:r>
      <w:r>
        <w:rPr>
          <w:rFonts w:hint="default"/>
          <w:color w:val="auto"/>
          <w:szCs w:val="21"/>
          <w:highlight w:val="none"/>
          <w:lang w:bidi="ar"/>
        </w:rPr>
        <w:t>，并经培训合格</w:t>
      </w:r>
      <w:r>
        <w:rPr>
          <w:rFonts w:hint="eastAsia"/>
          <w:color w:val="auto"/>
          <w:szCs w:val="21"/>
          <w:highlight w:val="none"/>
          <w:lang w:bidi="ar"/>
        </w:rPr>
        <w:t>。</w:t>
      </w:r>
    </w:p>
    <w:p w14:paraId="5671FB81">
      <w:pPr>
        <w:pStyle w:val="171"/>
        <w:ind w:left="10" w:hanging="10" w:hangingChars="5"/>
        <w:textAlignment w:val="center"/>
        <w:rPr>
          <w:color w:val="auto"/>
          <w:szCs w:val="21"/>
          <w:lang w:bidi="ar"/>
        </w:rPr>
      </w:pPr>
      <w:r>
        <w:rPr>
          <w:rFonts w:hint="eastAsia" w:hAnsi="宋体" w:cs="宋体"/>
          <w:color w:val="auto"/>
          <w:szCs w:val="21"/>
          <w:lang w:bidi="ar"/>
        </w:rPr>
        <w:t>作业完毕，应及时清理作业现场，并组织验收确认。</w:t>
      </w:r>
    </w:p>
    <w:p w14:paraId="0A3E7C48">
      <w:pPr>
        <w:pStyle w:val="114"/>
        <w:spacing w:before="160" w:after="160"/>
        <w:rPr>
          <w:color w:val="auto"/>
          <w:szCs w:val="21"/>
        </w:rPr>
      </w:pPr>
      <w:bookmarkStart w:id="1119" w:name="_Toc24050"/>
      <w:bookmarkStart w:id="1120" w:name="_Toc26989"/>
      <w:bookmarkStart w:id="1121" w:name="_Toc2001"/>
      <w:bookmarkStart w:id="1122" w:name="_Toc2736"/>
      <w:bookmarkStart w:id="1123" w:name="_Toc28348"/>
      <w:bookmarkStart w:id="1124" w:name="_Toc30332"/>
      <w:bookmarkStart w:id="1125" w:name="_Toc13643"/>
      <w:bookmarkStart w:id="1126" w:name="_Toc14655"/>
      <w:bookmarkStart w:id="1127" w:name="_Toc965"/>
      <w:bookmarkStart w:id="1128" w:name="_Toc5341"/>
      <w:bookmarkStart w:id="1129" w:name="_Toc15451"/>
      <w:bookmarkStart w:id="1130" w:name="_Toc23800"/>
      <w:bookmarkStart w:id="1131" w:name="_Toc22158"/>
      <w:bookmarkStart w:id="1132" w:name="_Toc2346"/>
      <w:bookmarkStart w:id="1133" w:name="_Toc3668"/>
      <w:bookmarkStart w:id="1134" w:name="_Toc10427"/>
      <w:bookmarkStart w:id="1135" w:name="_Toc12277"/>
      <w:bookmarkStart w:id="1136" w:name="_Toc20474"/>
      <w:bookmarkStart w:id="1137" w:name="_Toc20219"/>
      <w:bookmarkStart w:id="1138" w:name="_Toc32577"/>
      <w:bookmarkStart w:id="1139" w:name="_Toc26538"/>
      <w:bookmarkStart w:id="1140" w:name="_Toc14661"/>
      <w:r>
        <w:rPr>
          <w:rFonts w:hint="eastAsia"/>
          <w:color w:val="auto"/>
          <w:szCs w:val="21"/>
          <w:lang w:val="en-US" w:eastAsia="zh-CN"/>
        </w:rPr>
        <w:t>相关方</w:t>
      </w:r>
      <w:r>
        <w:rPr>
          <w:rFonts w:hint="eastAsia"/>
          <w:color w:val="auto"/>
          <w:szCs w:val="21"/>
        </w:rPr>
        <w:t>管理</w:t>
      </w:r>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p>
    <w:p w14:paraId="2DF479C9">
      <w:pPr>
        <w:pStyle w:val="79"/>
        <w:spacing w:before="160" w:after="160"/>
        <w:rPr>
          <w:color w:val="auto"/>
          <w:szCs w:val="21"/>
        </w:rPr>
      </w:pPr>
      <w:bookmarkStart w:id="1141" w:name="_Toc20020"/>
      <w:bookmarkStart w:id="1142" w:name="_Toc2248"/>
      <w:bookmarkStart w:id="1143" w:name="_Toc26667"/>
      <w:bookmarkStart w:id="1144" w:name="_Toc4834"/>
      <w:bookmarkStart w:id="1145" w:name="_Toc18616"/>
      <w:bookmarkStart w:id="1146" w:name="_Toc2629"/>
      <w:bookmarkStart w:id="1147" w:name="_Toc20996"/>
      <w:bookmarkStart w:id="1148" w:name="_Toc2089"/>
      <w:bookmarkStart w:id="1149" w:name="_Toc2818"/>
      <w:bookmarkStart w:id="1150" w:name="_Toc27841"/>
      <w:bookmarkStart w:id="1151" w:name="_Toc24457"/>
      <w:bookmarkStart w:id="1152" w:name="_Toc22663"/>
      <w:bookmarkStart w:id="1153" w:name="_Toc10985"/>
      <w:bookmarkStart w:id="1154" w:name="_Toc7317"/>
      <w:bookmarkStart w:id="1155" w:name="_Toc30610"/>
      <w:bookmarkStart w:id="1156" w:name="_Toc28742"/>
      <w:bookmarkStart w:id="1157" w:name="_Toc3132"/>
      <w:bookmarkStart w:id="1158" w:name="_Toc26502"/>
      <w:bookmarkStart w:id="1159" w:name="_Toc32081"/>
      <w:bookmarkStart w:id="1160" w:name="_Toc31408"/>
      <w:bookmarkStart w:id="1161" w:name="_Toc23789"/>
      <w:bookmarkStart w:id="1162" w:name="_Toc837"/>
      <w:r>
        <w:rPr>
          <w:rFonts w:hint="default"/>
          <w:color w:val="auto"/>
          <w:szCs w:val="21"/>
        </w:rPr>
        <w:t>承包商</w:t>
      </w:r>
      <w:r>
        <w:rPr>
          <w:rFonts w:hint="eastAsia"/>
          <w:color w:val="auto"/>
          <w:szCs w:val="21"/>
        </w:rPr>
        <w:t>准入管理</w:t>
      </w:r>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p>
    <w:p w14:paraId="7FB3C944">
      <w:pPr>
        <w:pStyle w:val="171"/>
        <w:ind w:left="10" w:hanging="10" w:hangingChars="5"/>
        <w:textAlignment w:val="center"/>
        <w:rPr>
          <w:color w:val="auto"/>
          <w:szCs w:val="21"/>
          <w:lang w:bidi="ar"/>
        </w:rPr>
      </w:pPr>
      <w:r>
        <w:rPr>
          <w:rFonts w:hint="eastAsia"/>
          <w:color w:val="auto"/>
          <w:szCs w:val="21"/>
          <w:lang w:bidi="ar"/>
        </w:rPr>
        <w:t>企业应</w:t>
      </w:r>
      <w:r>
        <w:rPr>
          <w:rFonts w:hint="eastAsia"/>
          <w:color w:val="auto"/>
          <w:szCs w:val="21"/>
          <w:lang w:val="en-US" w:eastAsia="zh-CN" w:bidi="ar"/>
        </w:rPr>
        <w:t>建立</w:t>
      </w:r>
      <w:r>
        <w:rPr>
          <w:rFonts w:hint="eastAsia"/>
          <w:color w:val="auto"/>
          <w:szCs w:val="21"/>
          <w:lang w:bidi="ar"/>
        </w:rPr>
        <w:t>承包商</w:t>
      </w:r>
      <w:r>
        <w:rPr>
          <w:rFonts w:hint="eastAsia"/>
          <w:color w:val="auto"/>
          <w:szCs w:val="21"/>
          <w:highlight w:val="none"/>
          <w:lang w:val="en-US" w:eastAsia="zh-CN" w:bidi="ar"/>
        </w:rPr>
        <w:t>安全条件</w:t>
      </w:r>
      <w:r>
        <w:rPr>
          <w:rFonts w:hint="eastAsia"/>
          <w:color w:val="auto"/>
          <w:szCs w:val="21"/>
          <w:lang w:bidi="ar"/>
        </w:rPr>
        <w:t>准入</w:t>
      </w:r>
      <w:r>
        <w:rPr>
          <w:rFonts w:hint="eastAsia"/>
          <w:color w:val="auto"/>
          <w:szCs w:val="21"/>
          <w:lang w:eastAsia="zh-CN" w:bidi="ar"/>
        </w:rPr>
        <w:t>、</w:t>
      </w:r>
      <w:r>
        <w:rPr>
          <w:rFonts w:hint="eastAsia"/>
          <w:color w:val="auto"/>
          <w:szCs w:val="21"/>
          <w:lang w:val="en-US" w:eastAsia="zh-CN" w:bidi="ar"/>
        </w:rPr>
        <w:t>退出</w:t>
      </w:r>
      <w:r>
        <w:rPr>
          <w:rFonts w:hint="eastAsia"/>
          <w:color w:val="auto"/>
          <w:szCs w:val="21"/>
          <w:lang w:bidi="ar"/>
        </w:rPr>
        <w:t>标准，对承包商资质、安全业绩、人员</w:t>
      </w:r>
      <w:r>
        <w:rPr>
          <w:rFonts w:hint="eastAsia"/>
          <w:color w:val="auto"/>
          <w:szCs w:val="21"/>
          <w:lang w:val="en-US" w:eastAsia="zh-CN" w:bidi="ar"/>
        </w:rPr>
        <w:t>资格</w:t>
      </w:r>
      <w:r>
        <w:rPr>
          <w:rFonts w:hint="eastAsia"/>
          <w:color w:val="auto"/>
          <w:szCs w:val="21"/>
          <w:lang w:bidi="ar"/>
        </w:rPr>
        <w:t>与培训、安全管理机构等进行审查。</w:t>
      </w:r>
    </w:p>
    <w:p w14:paraId="1AD19705">
      <w:pPr>
        <w:pStyle w:val="171"/>
        <w:ind w:left="10" w:hanging="10" w:hangingChars="5"/>
        <w:textAlignment w:val="center"/>
        <w:rPr>
          <w:color w:val="auto"/>
          <w:szCs w:val="21"/>
          <w:lang w:bidi="ar"/>
        </w:rPr>
      </w:pPr>
      <w:r>
        <w:rPr>
          <w:rFonts w:hint="eastAsia"/>
          <w:color w:val="auto"/>
          <w:szCs w:val="21"/>
          <w:lang w:bidi="ar"/>
        </w:rPr>
        <w:t>企业应</w:t>
      </w:r>
      <w:r>
        <w:rPr>
          <w:rFonts w:hint="eastAsia"/>
          <w:color w:val="auto"/>
          <w:szCs w:val="21"/>
          <w:highlight w:val="none"/>
          <w:lang w:bidi="ar"/>
        </w:rPr>
        <w:t>选择合格的承包商</w:t>
      </w:r>
      <w:r>
        <w:rPr>
          <w:rFonts w:hint="eastAsia"/>
          <w:color w:val="auto"/>
          <w:szCs w:val="21"/>
          <w:lang w:bidi="ar"/>
        </w:rPr>
        <w:t>，与承包商签订安全管理协议，明确双方安全管理范围与责任</w:t>
      </w:r>
      <w:r>
        <w:rPr>
          <w:rFonts w:hint="eastAsia"/>
          <w:color w:val="auto"/>
          <w:szCs w:val="21"/>
          <w:lang w:eastAsia="zh-CN" w:bidi="ar"/>
        </w:rPr>
        <w:t>，</w:t>
      </w:r>
      <w:r>
        <w:rPr>
          <w:rFonts w:hint="eastAsia"/>
          <w:color w:val="auto"/>
          <w:szCs w:val="21"/>
          <w:lang w:val="en-US" w:eastAsia="zh-CN" w:bidi="ar"/>
        </w:rPr>
        <w:t>建</w:t>
      </w:r>
      <w:r>
        <w:rPr>
          <w:rFonts w:hint="eastAsia"/>
          <w:color w:val="auto"/>
          <w:szCs w:val="21"/>
          <w:lang w:bidi="ar"/>
        </w:rPr>
        <w:t>立合格承包商名录和档案</w:t>
      </w:r>
      <w:r>
        <w:rPr>
          <w:rFonts w:hint="eastAsia"/>
          <w:color w:val="auto"/>
          <w:szCs w:val="21"/>
          <w:lang w:eastAsia="zh-CN" w:bidi="ar"/>
        </w:rPr>
        <w:t>。</w:t>
      </w:r>
    </w:p>
    <w:p w14:paraId="0B763E74">
      <w:pPr>
        <w:pStyle w:val="79"/>
        <w:spacing w:before="160" w:after="160"/>
        <w:rPr>
          <w:color w:val="auto"/>
          <w:szCs w:val="21"/>
        </w:rPr>
      </w:pPr>
      <w:bookmarkStart w:id="1163" w:name="_Toc24128"/>
      <w:bookmarkStart w:id="1164" w:name="_Toc23008"/>
      <w:bookmarkStart w:id="1165" w:name="_Toc4919"/>
      <w:bookmarkStart w:id="1166" w:name="_Toc7346"/>
      <w:bookmarkStart w:id="1167" w:name="_Toc10019"/>
      <w:bookmarkStart w:id="1168" w:name="_Toc24456"/>
      <w:bookmarkStart w:id="1169" w:name="_Toc24388"/>
      <w:bookmarkStart w:id="1170" w:name="_Toc27664"/>
      <w:bookmarkStart w:id="1171" w:name="_Toc27603"/>
      <w:bookmarkStart w:id="1172" w:name="_Toc23046"/>
      <w:bookmarkStart w:id="1173" w:name="_Toc24419"/>
      <w:bookmarkStart w:id="1174" w:name="_Toc1702"/>
      <w:bookmarkStart w:id="1175" w:name="_Toc23097"/>
      <w:bookmarkStart w:id="1176" w:name="_Toc19779"/>
      <w:bookmarkStart w:id="1177" w:name="_Toc8468"/>
      <w:bookmarkStart w:id="1178" w:name="_Toc10618"/>
      <w:bookmarkStart w:id="1179" w:name="_Toc10528"/>
      <w:bookmarkStart w:id="1180" w:name="_Toc4332"/>
      <w:bookmarkStart w:id="1181" w:name="_Toc3718"/>
      <w:bookmarkStart w:id="1182" w:name="_Toc1125"/>
      <w:bookmarkStart w:id="1183" w:name="_Toc16845"/>
      <w:bookmarkStart w:id="1184" w:name="_Toc32020"/>
      <w:r>
        <w:rPr>
          <w:rFonts w:hint="eastAsia"/>
          <w:color w:val="auto"/>
          <w:szCs w:val="21"/>
        </w:rPr>
        <w:t>监督管理</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p>
    <w:p w14:paraId="19B91B45">
      <w:pPr>
        <w:pStyle w:val="171"/>
        <w:ind w:left="10" w:hanging="10" w:hangingChars="5"/>
        <w:textAlignment w:val="center"/>
        <w:rPr>
          <w:color w:val="auto"/>
          <w:szCs w:val="21"/>
          <w:lang w:bidi="ar"/>
        </w:rPr>
      </w:pPr>
      <w:r>
        <w:rPr>
          <w:rFonts w:hint="eastAsia"/>
          <w:color w:val="auto"/>
          <w:szCs w:val="21"/>
          <w:lang w:bidi="ar"/>
        </w:rPr>
        <w:t>企业应审核承包商的施工方案，对施工作业程序、</w:t>
      </w:r>
      <w:r>
        <w:rPr>
          <w:rFonts w:hint="eastAsia"/>
          <w:color w:val="auto"/>
          <w:szCs w:val="21"/>
          <w:lang w:eastAsia="zh-CN" w:bidi="ar"/>
        </w:rPr>
        <w:t>安全风险</w:t>
      </w:r>
      <w:r>
        <w:rPr>
          <w:rFonts w:hint="eastAsia"/>
          <w:color w:val="auto"/>
          <w:szCs w:val="21"/>
          <w:lang w:bidi="ar"/>
        </w:rPr>
        <w:t>辨识结果、安全措施和应急预案等内容进行核实确认。</w:t>
      </w:r>
    </w:p>
    <w:p w14:paraId="7127DCC9">
      <w:pPr>
        <w:pStyle w:val="171"/>
        <w:ind w:left="10" w:hanging="10" w:hangingChars="5"/>
        <w:textAlignment w:val="center"/>
        <w:rPr>
          <w:color w:val="auto"/>
          <w:szCs w:val="21"/>
          <w:lang w:bidi="ar"/>
        </w:rPr>
      </w:pPr>
      <w:r>
        <w:rPr>
          <w:rFonts w:hint="eastAsia"/>
          <w:color w:val="auto"/>
          <w:szCs w:val="21"/>
          <w:lang w:bidi="ar"/>
        </w:rPr>
        <w:t>企业应</w:t>
      </w:r>
      <w:r>
        <w:rPr>
          <w:rFonts w:hint="eastAsia"/>
          <w:color w:val="auto"/>
          <w:szCs w:val="21"/>
          <w:lang w:val="en-US" w:eastAsia="zh-CN" w:bidi="ar"/>
        </w:rPr>
        <w:t>在</w:t>
      </w:r>
      <w:r>
        <w:rPr>
          <w:rFonts w:hint="eastAsia"/>
          <w:color w:val="auto"/>
          <w:szCs w:val="21"/>
          <w:lang w:bidi="ar"/>
        </w:rPr>
        <w:t>作业前</w:t>
      </w:r>
      <w:r>
        <w:rPr>
          <w:rFonts w:hint="eastAsia"/>
          <w:color w:val="auto"/>
          <w:szCs w:val="21"/>
          <w:lang w:val="en-US" w:eastAsia="zh-CN" w:bidi="ar"/>
        </w:rPr>
        <w:t>对承包商作业人员进行</w:t>
      </w:r>
      <w:r>
        <w:rPr>
          <w:rFonts w:hint="eastAsia"/>
          <w:color w:val="auto"/>
          <w:szCs w:val="21"/>
          <w:lang w:bidi="ar"/>
        </w:rPr>
        <w:t>安全交底，告知作业周边潜在的火灾、爆炸及有毒物质泄漏等的安全风险及应急响应措施和要求等。</w:t>
      </w:r>
    </w:p>
    <w:p w14:paraId="24A1AD7A">
      <w:pPr>
        <w:pStyle w:val="79"/>
        <w:spacing w:before="160" w:after="160"/>
        <w:rPr>
          <w:color w:val="auto"/>
          <w:szCs w:val="21"/>
        </w:rPr>
      </w:pPr>
      <w:bookmarkStart w:id="1185" w:name="_Toc10384"/>
      <w:bookmarkStart w:id="1186" w:name="_Toc27015"/>
      <w:bookmarkStart w:id="1187" w:name="_Toc28375"/>
      <w:bookmarkStart w:id="1188" w:name="_Toc16567"/>
      <w:bookmarkStart w:id="1189" w:name="_Toc1592"/>
      <w:bookmarkStart w:id="1190" w:name="_Toc23907"/>
      <w:bookmarkStart w:id="1191" w:name="_Toc30692"/>
      <w:bookmarkStart w:id="1192" w:name="_Toc665"/>
      <w:bookmarkStart w:id="1193" w:name="_Toc24425"/>
      <w:bookmarkStart w:id="1194" w:name="_Toc16263"/>
      <w:bookmarkStart w:id="1195" w:name="_Toc15140"/>
      <w:bookmarkStart w:id="1196" w:name="_Toc9867"/>
      <w:bookmarkStart w:id="1197" w:name="_Toc26631"/>
      <w:bookmarkStart w:id="1198" w:name="_Toc22914"/>
      <w:bookmarkStart w:id="1199" w:name="_Toc32618"/>
      <w:bookmarkStart w:id="1200" w:name="_Toc11495"/>
      <w:bookmarkStart w:id="1201" w:name="_Toc11236"/>
      <w:bookmarkStart w:id="1202" w:name="_Toc4727"/>
      <w:bookmarkStart w:id="1203" w:name="_Toc17696"/>
      <w:bookmarkStart w:id="1204" w:name="_Toc24803"/>
      <w:bookmarkStart w:id="1205" w:name="_Toc21449"/>
      <w:r>
        <w:rPr>
          <w:rFonts w:hint="eastAsia"/>
          <w:color w:val="auto"/>
          <w:szCs w:val="21"/>
        </w:rPr>
        <w:t>安全绩效考核</w:t>
      </w:r>
      <w:bookmarkEnd w:id="1185"/>
      <w:bookmarkEnd w:id="1186"/>
      <w:bookmarkEnd w:id="1187"/>
      <w:bookmarkEnd w:id="1188"/>
    </w:p>
    <w:p w14:paraId="2EBE8CD1">
      <w:pPr>
        <w:pStyle w:val="171"/>
        <w:ind w:left="10" w:hanging="10" w:hangingChars="5"/>
        <w:textAlignment w:val="center"/>
        <w:rPr>
          <w:color w:val="auto"/>
          <w:szCs w:val="21"/>
          <w:lang w:bidi="ar"/>
        </w:rPr>
      </w:pPr>
      <w:r>
        <w:rPr>
          <w:rFonts w:hint="eastAsia"/>
          <w:color w:val="auto"/>
          <w:szCs w:val="21"/>
          <w:lang w:bidi="ar"/>
        </w:rPr>
        <w:t>企业应对承包商承担项目的安全管理情况及实施效果等进行</w:t>
      </w:r>
      <w:r>
        <w:rPr>
          <w:rFonts w:hint="eastAsia"/>
          <w:color w:val="auto"/>
          <w:szCs w:val="21"/>
          <w:lang w:val="en-US" w:eastAsia="zh-CN" w:bidi="ar"/>
        </w:rPr>
        <w:t>业绩</w:t>
      </w:r>
      <w:r>
        <w:rPr>
          <w:rFonts w:hint="eastAsia"/>
          <w:color w:val="auto"/>
          <w:szCs w:val="21"/>
          <w:lang w:bidi="ar"/>
        </w:rPr>
        <w:t>评价，将评价结果作为承包商续用的依据，及时淘汰业绩差的承包商</w:t>
      </w:r>
      <w:r>
        <w:rPr>
          <w:rFonts w:hint="eastAsia"/>
          <w:color w:val="auto"/>
          <w:szCs w:val="21"/>
          <w:lang w:eastAsia="zh-CN" w:bidi="ar"/>
        </w:rPr>
        <w:t>，</w:t>
      </w:r>
      <w:r>
        <w:rPr>
          <w:rFonts w:hint="eastAsia"/>
          <w:color w:val="auto"/>
          <w:szCs w:val="21"/>
          <w:lang w:bidi="ar"/>
        </w:rPr>
        <w:t>优化承包商资源。</w:t>
      </w:r>
    </w:p>
    <w:p w14:paraId="2D1B26F2">
      <w:pPr>
        <w:pStyle w:val="79"/>
        <w:spacing w:before="160" w:after="160"/>
        <w:rPr>
          <w:color w:val="auto"/>
          <w:szCs w:val="21"/>
        </w:rPr>
      </w:pPr>
      <w:bookmarkStart w:id="1206" w:name="_Toc23984"/>
      <w:r>
        <w:rPr>
          <w:color w:val="auto"/>
          <w:szCs w:val="21"/>
        </w:rPr>
        <w:t>供应商管理</w:t>
      </w:r>
      <w:bookmarkEnd w:id="1206"/>
    </w:p>
    <w:p w14:paraId="5077645F">
      <w:pPr>
        <w:pStyle w:val="171"/>
        <w:ind w:left="10" w:hangingChars="5"/>
        <w:outlineLvl w:val="9"/>
        <w:rPr>
          <w:rFonts w:hint="eastAsia" w:ascii="宋体" w:hAnsi="Times New Roman" w:eastAsia="宋体" w:cs="Times New Roman"/>
          <w:color w:val="auto"/>
          <w:szCs w:val="21"/>
          <w:lang w:bidi="ar"/>
        </w:rPr>
      </w:pPr>
      <w:r>
        <w:rPr>
          <w:rFonts w:hint="eastAsia" w:ascii="宋体" w:hAnsi="Times New Roman" w:eastAsia="宋体" w:cs="Times New Roman"/>
          <w:color w:val="auto"/>
          <w:szCs w:val="21"/>
          <w:lang w:bidi="ar"/>
        </w:rPr>
        <w:t>企业应对供应商</w:t>
      </w:r>
      <w:r>
        <w:rPr>
          <w:rFonts w:hint="default" w:ascii="宋体" w:hAnsi="Times New Roman" w:eastAsia="宋体" w:cs="Times New Roman"/>
          <w:color w:val="auto"/>
          <w:szCs w:val="21"/>
          <w:lang w:bidi="ar"/>
        </w:rPr>
        <w:t>选择、准入</w:t>
      </w:r>
      <w:r>
        <w:rPr>
          <w:rFonts w:hint="eastAsia" w:ascii="宋体" w:hAnsi="Times New Roman" w:eastAsia="宋体" w:cs="Times New Roman"/>
          <w:color w:val="auto"/>
          <w:szCs w:val="21"/>
          <w:lang w:bidi="ar"/>
        </w:rPr>
        <w:t>和续用等过程进行规范管理，并定期识别与采购有关的</w:t>
      </w:r>
      <w:r>
        <w:rPr>
          <w:rFonts w:hint="eastAsia" w:cs="Times New Roman"/>
          <w:color w:val="auto"/>
          <w:szCs w:val="21"/>
          <w:lang w:eastAsia="zh-CN" w:bidi="ar"/>
        </w:rPr>
        <w:t>安全风险</w:t>
      </w:r>
      <w:r>
        <w:rPr>
          <w:rFonts w:hint="eastAsia" w:ascii="宋体" w:hAnsi="Times New Roman" w:eastAsia="宋体" w:cs="Times New Roman"/>
          <w:color w:val="auto"/>
          <w:szCs w:val="21"/>
          <w:lang w:bidi="ar"/>
        </w:rPr>
        <w:t>，</w:t>
      </w:r>
      <w:r>
        <w:rPr>
          <w:rFonts w:hint="eastAsia" w:ascii="宋体" w:hAnsi="Times New Roman" w:eastAsia="宋体" w:cs="Times New Roman"/>
          <w:color w:val="auto"/>
          <w:sz w:val="21"/>
          <w:szCs w:val="21"/>
          <w:lang w:val="en-US" w:eastAsia="zh-CN" w:bidi="ar"/>
        </w:rPr>
        <w:t>在招标文件、采购合同中明确质量技术要求、质量控制措施、质量验收检验标准和质量违约责任</w:t>
      </w:r>
      <w:r>
        <w:rPr>
          <w:rFonts w:hint="eastAsia" w:ascii="宋体" w:hAnsi="Times New Roman" w:eastAsia="宋体" w:cs="Times New Roman"/>
          <w:color w:val="auto"/>
          <w:sz w:val="21"/>
          <w:szCs w:val="21"/>
          <w:lang w:eastAsia="zh-CN" w:bidi="ar"/>
        </w:rPr>
        <w:t xml:space="preserve"> </w:t>
      </w:r>
      <w:r>
        <w:rPr>
          <w:rFonts w:hint="eastAsia" w:ascii="宋体" w:hAnsi="Times New Roman" w:eastAsia="宋体" w:cs="Times New Roman"/>
          <w:color w:val="auto"/>
          <w:szCs w:val="21"/>
          <w:lang w:bidi="ar"/>
        </w:rPr>
        <w:t>确保所采购的</w:t>
      </w:r>
      <w:r>
        <w:rPr>
          <w:rFonts w:hint="default" w:ascii="宋体" w:hAnsi="Times New Roman" w:eastAsia="宋体" w:cs="Times New Roman"/>
          <w:color w:val="auto"/>
          <w:szCs w:val="21"/>
          <w:lang w:bidi="ar"/>
        </w:rPr>
        <w:t>危险化学品、备品备件的质量和安全</w:t>
      </w:r>
      <w:r>
        <w:rPr>
          <w:rFonts w:hint="eastAsia" w:ascii="宋体" w:hAnsi="Times New Roman" w:eastAsia="宋体" w:cs="Times New Roman"/>
          <w:color w:val="auto"/>
          <w:szCs w:val="21"/>
          <w:lang w:bidi="ar"/>
        </w:rPr>
        <w:t>。</w:t>
      </w:r>
    </w:p>
    <w:p w14:paraId="3997B7F2">
      <w:pPr>
        <w:pStyle w:val="171"/>
        <w:ind w:left="10" w:hangingChars="5"/>
        <w:outlineLvl w:val="9"/>
        <w:rPr>
          <w:rFonts w:hint="eastAsia" w:ascii="宋体" w:hAnsi="Times New Roman" w:eastAsia="宋体" w:cs="Times New Roman"/>
          <w:color w:val="auto"/>
          <w:szCs w:val="21"/>
          <w:lang w:bidi="ar"/>
        </w:rPr>
      </w:pPr>
      <w:r>
        <w:rPr>
          <w:rFonts w:hint="eastAsia" w:ascii="宋体" w:hAnsi="Times New Roman" w:eastAsia="宋体" w:cs="Times New Roman"/>
          <w:color w:val="auto"/>
          <w:sz w:val="21"/>
          <w:szCs w:val="21"/>
          <w:lang w:val="en-US" w:eastAsia="zh-CN" w:bidi="ar"/>
        </w:rPr>
        <w:t>企业应建立健全物资入库验收标准，对采购物资实施质量检验或验收，合格后方可入库。</w:t>
      </w:r>
    </w:p>
    <w:p w14:paraId="7B3FDF06">
      <w:pPr>
        <w:pStyle w:val="171"/>
        <w:ind w:left="10" w:hangingChars="5"/>
        <w:outlineLvl w:val="9"/>
        <w:rPr>
          <w:rFonts w:hint="eastAsia" w:ascii="宋体" w:hAnsi="Times New Roman" w:eastAsia="宋体" w:cs="Times New Roman"/>
          <w:color w:val="auto"/>
          <w:szCs w:val="21"/>
          <w:lang w:bidi="ar"/>
        </w:rPr>
      </w:pPr>
      <w:r>
        <w:rPr>
          <w:rFonts w:hint="default" w:ascii="宋体" w:hAnsi="Times New Roman" w:eastAsia="宋体" w:cs="Times New Roman"/>
          <w:color w:val="auto"/>
          <w:szCs w:val="21"/>
          <w:lang w:bidi="ar"/>
        </w:rPr>
        <w:t>企业</w:t>
      </w:r>
      <w:r>
        <w:rPr>
          <w:rFonts w:hint="eastAsia" w:ascii="宋体" w:hAnsi="Times New Roman" w:eastAsia="宋体" w:cs="Times New Roman"/>
          <w:color w:val="auto"/>
          <w:szCs w:val="21"/>
          <w:lang w:bidi="ar"/>
        </w:rPr>
        <w:t>应定期进行供应商的业绩评价，根据评价结果及时调整或更换供应商。</w:t>
      </w:r>
    </w:p>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p w14:paraId="273F032A">
      <w:pPr>
        <w:pStyle w:val="114"/>
        <w:spacing w:before="160" w:after="160"/>
        <w:rPr>
          <w:color w:val="auto"/>
          <w:szCs w:val="21"/>
        </w:rPr>
      </w:pPr>
      <w:bookmarkStart w:id="1207" w:name="_Toc7653"/>
      <w:bookmarkStart w:id="1208" w:name="_Toc21895"/>
      <w:bookmarkStart w:id="1209" w:name="_Toc826"/>
      <w:bookmarkStart w:id="1210" w:name="_Toc2982"/>
      <w:bookmarkStart w:id="1211" w:name="_Toc25481"/>
      <w:bookmarkStart w:id="1212" w:name="_Toc11500"/>
      <w:bookmarkStart w:id="1213" w:name="_Toc13993"/>
      <w:bookmarkStart w:id="1214" w:name="_Toc7205"/>
      <w:bookmarkStart w:id="1215" w:name="_Toc8141"/>
      <w:bookmarkStart w:id="1216" w:name="_Toc1806"/>
      <w:bookmarkStart w:id="1217" w:name="_Toc24271"/>
      <w:bookmarkStart w:id="1218" w:name="_Toc17239"/>
      <w:bookmarkStart w:id="1219" w:name="_Toc18438"/>
      <w:bookmarkStart w:id="1220" w:name="_Toc2553"/>
      <w:bookmarkStart w:id="1221" w:name="_Toc9143"/>
      <w:bookmarkStart w:id="1222" w:name="_Toc8993"/>
      <w:bookmarkStart w:id="1223" w:name="_Toc17778"/>
      <w:bookmarkStart w:id="1224" w:name="_Toc3075"/>
      <w:bookmarkStart w:id="1225" w:name="_Toc27024"/>
      <w:bookmarkStart w:id="1226" w:name="_Toc22393"/>
      <w:bookmarkStart w:id="1227" w:name="_Toc7404"/>
      <w:bookmarkStart w:id="1228" w:name="_Toc18607"/>
      <w:r>
        <w:rPr>
          <w:rFonts w:hint="eastAsia"/>
          <w:color w:val="auto"/>
          <w:szCs w:val="21"/>
        </w:rPr>
        <w:t>化学品安全与重大危险源管理</w:t>
      </w:r>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5ED0285E">
      <w:pPr>
        <w:pStyle w:val="79"/>
        <w:spacing w:before="160" w:after="160"/>
        <w:rPr>
          <w:rFonts w:hint="eastAsia"/>
          <w:color w:val="auto"/>
          <w:szCs w:val="21"/>
        </w:rPr>
      </w:pPr>
      <w:r>
        <w:rPr>
          <w:rFonts w:hint="eastAsia"/>
          <w:color w:val="auto"/>
          <w:szCs w:val="21"/>
        </w:rPr>
        <w:t>鉴定分类</w:t>
      </w:r>
      <w:r>
        <w:rPr>
          <w:rFonts w:hint="eastAsia"/>
          <w:color w:val="auto"/>
          <w:szCs w:val="21"/>
          <w:lang w:val="en-US" w:eastAsia="zh-CN"/>
        </w:rPr>
        <w:t>和登记</w:t>
      </w:r>
    </w:p>
    <w:p w14:paraId="7AADE429">
      <w:pPr>
        <w:pStyle w:val="171"/>
        <w:ind w:left="10" w:hanging="10" w:hangingChars="5"/>
        <w:textAlignment w:val="center"/>
        <w:rPr>
          <w:rFonts w:hint="eastAsia"/>
          <w:color w:val="auto"/>
          <w:szCs w:val="21"/>
          <w:lang w:bidi="ar"/>
        </w:rPr>
      </w:pPr>
      <w:r>
        <w:rPr>
          <w:rFonts w:hint="eastAsia"/>
          <w:color w:val="auto"/>
          <w:szCs w:val="21"/>
          <w:highlight w:val="none"/>
          <w:lang w:bidi="ar"/>
        </w:rPr>
        <w:t>企业</w:t>
      </w:r>
      <w:r>
        <w:rPr>
          <w:rFonts w:hint="eastAsia"/>
          <w:color w:val="auto"/>
          <w:szCs w:val="21"/>
          <w:lang w:bidi="ar"/>
        </w:rPr>
        <w:t>应建立化学品普查表，</w:t>
      </w:r>
      <w:r>
        <w:rPr>
          <w:rFonts w:hint="eastAsia"/>
          <w:color w:val="auto"/>
          <w:szCs w:val="21"/>
          <w:highlight w:val="none"/>
          <w:lang w:bidi="ar"/>
        </w:rPr>
        <w:t>对产品、原辅料和中间产品进行普查</w:t>
      </w:r>
      <w:r>
        <w:rPr>
          <w:rFonts w:hint="eastAsia"/>
          <w:color w:val="auto"/>
          <w:szCs w:val="21"/>
          <w:lang w:bidi="ar"/>
        </w:rPr>
        <w:t>，建立危险化学品管理档案。</w:t>
      </w:r>
    </w:p>
    <w:p w14:paraId="7101D93F">
      <w:pPr>
        <w:pStyle w:val="171"/>
        <w:ind w:left="10" w:hanging="10" w:hangingChars="5"/>
        <w:textAlignment w:val="center"/>
        <w:rPr>
          <w:rFonts w:hint="eastAsia"/>
          <w:color w:val="auto"/>
          <w:szCs w:val="21"/>
          <w:lang w:bidi="ar"/>
        </w:rPr>
      </w:pPr>
      <w:bookmarkStart w:id="1229" w:name="OLE_LINK17"/>
      <w:r>
        <w:rPr>
          <w:rFonts w:hint="eastAsia"/>
          <w:color w:val="auto"/>
          <w:szCs w:val="21"/>
          <w:lang w:bidi="ar"/>
        </w:rPr>
        <w:t>企业应按照</w:t>
      </w:r>
      <w:r>
        <w:rPr>
          <w:rFonts w:hint="default"/>
          <w:color w:val="auto"/>
          <w:szCs w:val="21"/>
          <w:lang w:bidi="ar"/>
        </w:rPr>
        <w:t>国家法规标准</w:t>
      </w:r>
      <w:r>
        <w:rPr>
          <w:rFonts w:hint="eastAsia"/>
          <w:color w:val="auto"/>
          <w:szCs w:val="21"/>
          <w:lang w:bidi="ar"/>
        </w:rPr>
        <w:t>等规定</w:t>
      </w:r>
      <w:r>
        <w:rPr>
          <w:rFonts w:hint="default"/>
          <w:color w:val="auto"/>
          <w:szCs w:val="21"/>
          <w:lang w:bidi="ar"/>
        </w:rPr>
        <w:t>，</w:t>
      </w:r>
      <w:r>
        <w:rPr>
          <w:rFonts w:hint="eastAsia"/>
          <w:color w:val="auto"/>
          <w:szCs w:val="21"/>
          <w:lang w:bidi="ar"/>
        </w:rPr>
        <w:t>对危险化学品</w:t>
      </w:r>
      <w:r>
        <w:rPr>
          <w:rFonts w:hint="eastAsia"/>
          <w:color w:val="auto"/>
          <w:szCs w:val="21"/>
          <w:lang w:val="en-US" w:eastAsia="zh-CN" w:bidi="ar"/>
        </w:rPr>
        <w:t>进行</w:t>
      </w:r>
      <w:r>
        <w:rPr>
          <w:rFonts w:hint="eastAsia"/>
          <w:color w:val="auto"/>
          <w:szCs w:val="21"/>
          <w:lang w:bidi="ar"/>
        </w:rPr>
        <w:t>登记</w:t>
      </w:r>
      <w:r>
        <w:rPr>
          <w:rFonts w:hint="default"/>
          <w:color w:val="auto"/>
          <w:szCs w:val="21"/>
          <w:lang w:bidi="ar"/>
        </w:rPr>
        <w:t>，并执行危险化学品“一企一品一码”标识化管理</w:t>
      </w:r>
      <w:r>
        <w:rPr>
          <w:rFonts w:hint="eastAsia"/>
          <w:color w:val="auto"/>
          <w:szCs w:val="21"/>
          <w:lang w:bidi="ar"/>
        </w:rPr>
        <w:t>。</w:t>
      </w:r>
    </w:p>
    <w:p w14:paraId="7186432E">
      <w:pPr>
        <w:pStyle w:val="171"/>
        <w:ind w:left="10" w:hanging="10" w:hangingChars="5"/>
        <w:textAlignment w:val="center"/>
        <w:rPr>
          <w:color w:val="auto"/>
          <w:szCs w:val="21"/>
          <w:lang w:bidi="ar"/>
        </w:rPr>
      </w:pPr>
      <w:r>
        <w:rPr>
          <w:rFonts w:hint="eastAsia"/>
          <w:color w:val="auto"/>
          <w:szCs w:val="21"/>
          <w:lang w:val="en-US" w:eastAsia="zh-CN" w:bidi="ar"/>
        </w:rPr>
        <w:t>企业应对本企业生产的化学品进行物理危险性辨识，</w:t>
      </w:r>
      <w:r>
        <w:rPr>
          <w:rFonts w:hint="eastAsia"/>
          <w:color w:val="auto"/>
          <w:szCs w:val="21"/>
          <w:lang w:bidi="ar"/>
        </w:rPr>
        <w:t>对危险特性尚未确定的化学品</w:t>
      </w:r>
      <w:r>
        <w:rPr>
          <w:rFonts w:hint="eastAsia"/>
          <w:color w:val="auto"/>
          <w:szCs w:val="21"/>
          <w:lang w:val="en-US" w:eastAsia="zh-CN" w:bidi="ar"/>
        </w:rPr>
        <w:t>向鉴定机构申请</w:t>
      </w:r>
      <w:r>
        <w:rPr>
          <w:rFonts w:hint="eastAsia"/>
          <w:color w:val="auto"/>
          <w:szCs w:val="21"/>
          <w:lang w:bidi="ar"/>
        </w:rPr>
        <w:t>鉴定</w:t>
      </w:r>
      <w:r>
        <w:rPr>
          <w:rFonts w:hint="eastAsia"/>
          <w:color w:val="auto"/>
          <w:szCs w:val="21"/>
          <w:lang w:eastAsia="zh-CN" w:bidi="ar"/>
        </w:rPr>
        <w:t>。</w:t>
      </w:r>
    </w:p>
    <w:p w14:paraId="1D3354AE">
      <w:pPr>
        <w:pStyle w:val="171"/>
        <w:ind w:left="10" w:hanging="10" w:hangingChars="5"/>
        <w:textAlignment w:val="center"/>
        <w:rPr>
          <w:rFonts w:hint="eastAsia"/>
          <w:color w:val="auto"/>
          <w:szCs w:val="21"/>
          <w:lang w:bidi="ar"/>
        </w:rPr>
      </w:pPr>
      <w:r>
        <w:rPr>
          <w:rFonts w:hint="eastAsia"/>
          <w:color w:val="auto"/>
          <w:szCs w:val="21"/>
          <w:lang w:val="en-US" w:eastAsia="zh-CN" w:bidi="ar"/>
        </w:rPr>
        <w:t>企业应根据鉴定报告及其他物理危险性数据资料，编制化学品物理危险性分类报告。</w:t>
      </w:r>
    </w:p>
    <w:p w14:paraId="02A7C033">
      <w:pPr>
        <w:pStyle w:val="79"/>
        <w:spacing w:before="160" w:after="160"/>
        <w:rPr>
          <w:color w:val="auto"/>
          <w:szCs w:val="21"/>
          <w:lang w:bidi="ar"/>
        </w:rPr>
      </w:pPr>
      <w:r>
        <w:rPr>
          <w:rFonts w:hint="eastAsia"/>
          <w:color w:val="auto"/>
          <w:szCs w:val="21"/>
          <w:lang w:bidi="ar"/>
        </w:rPr>
        <w:t>危险化学品生产企业应设立或委托设立专用的24小时应急咨询服务电话，提供紧急情况下化学品的安全、健康和环境保护方面的信息。</w:t>
      </w:r>
    </w:p>
    <w:bookmarkEnd w:id="1229"/>
    <w:p w14:paraId="5E770EB5">
      <w:pPr>
        <w:pStyle w:val="79"/>
        <w:spacing w:before="160" w:after="160"/>
        <w:rPr>
          <w:rFonts w:hint="eastAsia"/>
          <w:color w:val="auto"/>
          <w:szCs w:val="21"/>
        </w:rPr>
      </w:pPr>
      <w:bookmarkStart w:id="1230" w:name="_Toc13034"/>
      <w:bookmarkStart w:id="1231" w:name="_Toc26750"/>
      <w:bookmarkStart w:id="1232" w:name="_Toc25295"/>
      <w:bookmarkStart w:id="1233" w:name="_Toc2305"/>
      <w:bookmarkStart w:id="1234" w:name="_Toc30254"/>
      <w:bookmarkStart w:id="1235" w:name="_Toc11367"/>
      <w:bookmarkStart w:id="1236" w:name="_Toc21855"/>
      <w:bookmarkStart w:id="1237" w:name="_Toc11749"/>
      <w:bookmarkStart w:id="1238" w:name="_Toc12579"/>
      <w:bookmarkStart w:id="1239" w:name="_Toc27693"/>
      <w:bookmarkStart w:id="1240" w:name="_Toc26069"/>
      <w:bookmarkStart w:id="1241" w:name="_Toc14144"/>
      <w:bookmarkStart w:id="1242" w:name="_Toc16685"/>
      <w:bookmarkStart w:id="1243" w:name="_Toc5043"/>
      <w:bookmarkStart w:id="1244" w:name="_Toc20330"/>
      <w:bookmarkStart w:id="1245" w:name="_Toc6220"/>
      <w:bookmarkStart w:id="1246" w:name="_Toc6632"/>
      <w:bookmarkStart w:id="1247" w:name="_Toc3452"/>
      <w:r>
        <w:rPr>
          <w:rFonts w:hint="eastAsia"/>
          <w:color w:val="auto"/>
          <w:szCs w:val="21"/>
        </w:rPr>
        <w:t>化学品安全管理</w:t>
      </w:r>
    </w:p>
    <w:p w14:paraId="2334F00E">
      <w:pPr>
        <w:pStyle w:val="171"/>
        <w:ind w:left="10" w:hanging="10" w:hangingChars="5"/>
        <w:textAlignment w:val="center"/>
        <w:rPr>
          <w:rFonts w:hint="eastAsia"/>
          <w:color w:val="auto"/>
          <w:szCs w:val="21"/>
          <w:lang w:bidi="ar"/>
        </w:rPr>
      </w:pPr>
      <w:r>
        <w:rPr>
          <w:rFonts w:hint="eastAsia"/>
          <w:color w:val="auto"/>
          <w:szCs w:val="21"/>
          <w:lang w:bidi="ar"/>
        </w:rPr>
        <w:t>企业应对其生产、经营的危险化学品提供化学品安全技术说明书，并在其包装上粘贴或者拴挂与包装内化学品相符的化学品安全标签。化学品安全技术说明书和安全标签应符合GB 15258</w:t>
      </w:r>
      <w:r>
        <w:rPr>
          <w:rFonts w:hint="default"/>
          <w:color w:val="auto"/>
          <w:szCs w:val="21"/>
          <w:lang w:bidi="ar"/>
        </w:rPr>
        <w:t>等</w:t>
      </w:r>
      <w:r>
        <w:rPr>
          <w:rFonts w:hint="eastAsia"/>
          <w:color w:val="auto"/>
          <w:szCs w:val="21"/>
          <w:lang w:bidi="ar"/>
        </w:rPr>
        <w:t>要求。</w:t>
      </w:r>
    </w:p>
    <w:p w14:paraId="4B7F4847">
      <w:pPr>
        <w:pStyle w:val="171"/>
        <w:ind w:left="10" w:hanging="10" w:hangingChars="5"/>
        <w:textAlignment w:val="center"/>
        <w:rPr>
          <w:rFonts w:hint="eastAsia"/>
          <w:color w:val="auto"/>
          <w:szCs w:val="21"/>
          <w:lang w:bidi="ar"/>
        </w:rPr>
      </w:pPr>
      <w:r>
        <w:rPr>
          <w:rFonts w:hint="eastAsia"/>
          <w:color w:val="auto"/>
          <w:szCs w:val="21"/>
          <w:lang w:bidi="ar"/>
        </w:rPr>
        <w:t>企业采购危险化学品时，应</w:t>
      </w:r>
      <w:r>
        <w:rPr>
          <w:rFonts w:hint="eastAsia"/>
          <w:color w:val="auto"/>
          <w:szCs w:val="21"/>
          <w:highlight w:val="none"/>
          <w:lang w:bidi="ar"/>
        </w:rPr>
        <w:t>索取</w:t>
      </w:r>
      <w:r>
        <w:rPr>
          <w:rFonts w:hint="eastAsia"/>
          <w:color w:val="auto"/>
          <w:szCs w:val="21"/>
          <w:highlight w:val="none"/>
          <w:lang w:val="en-US" w:eastAsia="zh-CN" w:bidi="ar"/>
        </w:rPr>
        <w:t>相关的</w:t>
      </w:r>
      <w:r>
        <w:rPr>
          <w:rFonts w:hint="eastAsia"/>
          <w:color w:val="auto"/>
          <w:szCs w:val="21"/>
          <w:lang w:bidi="ar"/>
        </w:rPr>
        <w:t>化学品安全技术说明书和安全标签，不得采购无安全技术说明书和安全标签的危险化学品。</w:t>
      </w:r>
    </w:p>
    <w:p w14:paraId="4D7B33CE">
      <w:pPr>
        <w:pStyle w:val="79"/>
        <w:spacing w:before="160" w:after="160"/>
        <w:rPr>
          <w:color w:val="auto"/>
          <w:szCs w:val="21"/>
        </w:rPr>
      </w:pPr>
      <w:bookmarkStart w:id="1248" w:name="_Toc6314"/>
      <w:bookmarkStart w:id="1249" w:name="_Toc6754"/>
      <w:bookmarkStart w:id="1250" w:name="_Toc25648"/>
      <w:bookmarkStart w:id="1251" w:name="_Toc913"/>
      <w:r>
        <w:rPr>
          <w:rFonts w:hint="eastAsia"/>
          <w:color w:val="auto"/>
          <w:szCs w:val="21"/>
        </w:rPr>
        <w:t>储存安全管理</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p>
    <w:p w14:paraId="76B1BE23">
      <w:pPr>
        <w:pStyle w:val="171"/>
        <w:ind w:left="10" w:hanging="10" w:hangingChars="5"/>
        <w:textAlignment w:val="center"/>
        <w:rPr>
          <w:color w:val="auto"/>
          <w:szCs w:val="21"/>
          <w:lang w:bidi="ar"/>
        </w:rPr>
      </w:pPr>
      <w:r>
        <w:rPr>
          <w:rFonts w:hint="eastAsia"/>
          <w:color w:val="auto"/>
          <w:szCs w:val="21"/>
          <w:lang w:bidi="ar"/>
        </w:rPr>
        <w:t>企业</w:t>
      </w:r>
      <w:r>
        <w:rPr>
          <w:rFonts w:hint="eastAsia"/>
          <w:color w:val="auto"/>
          <w:szCs w:val="21"/>
          <w:lang w:val="en-US" w:eastAsia="zh-CN" w:bidi="ar"/>
        </w:rPr>
        <w:t>应</w:t>
      </w:r>
      <w:r>
        <w:rPr>
          <w:rFonts w:hint="eastAsia" w:hAnsi="宋体" w:cs="宋体"/>
          <w:color w:val="auto"/>
          <w:szCs w:val="21"/>
          <w:lang w:val="en-US" w:eastAsia="zh-CN" w:bidi="ar"/>
        </w:rPr>
        <w:t>按照国家标准有关规定的储存方式、储存方法及储存数量储存危险化学品，</w:t>
      </w:r>
      <w:r>
        <w:rPr>
          <w:rFonts w:hint="eastAsia"/>
          <w:color w:val="auto"/>
          <w:szCs w:val="21"/>
          <w:lang w:bidi="ar"/>
        </w:rPr>
        <w:t>对</w:t>
      </w:r>
      <w:r>
        <w:rPr>
          <w:rFonts w:hint="eastAsia" w:hAnsi="宋体" w:cs="宋体"/>
          <w:color w:val="auto"/>
          <w:szCs w:val="21"/>
          <w:lang w:bidi="ar"/>
        </w:rPr>
        <w:t>危险化学品出入库进行核查登记，禁止将危险化学品与禁忌物品混存。</w:t>
      </w:r>
    </w:p>
    <w:p w14:paraId="4F0F0BCE">
      <w:pPr>
        <w:pStyle w:val="171"/>
        <w:ind w:left="10" w:hanging="10" w:hangingChars="5"/>
        <w:textAlignment w:val="center"/>
        <w:rPr>
          <w:color w:val="auto"/>
          <w:szCs w:val="21"/>
          <w:lang w:bidi="ar"/>
        </w:rPr>
      </w:pPr>
      <w:r>
        <w:rPr>
          <w:rFonts w:hint="eastAsia"/>
          <w:color w:val="auto"/>
          <w:szCs w:val="21"/>
          <w:lang w:bidi="ar"/>
        </w:rPr>
        <w:t>企业应</w:t>
      </w:r>
      <w:r>
        <w:rPr>
          <w:rFonts w:hint="default"/>
          <w:color w:val="auto"/>
          <w:szCs w:val="21"/>
          <w:lang w:bidi="ar"/>
        </w:rPr>
        <w:t>对储存的</w:t>
      </w:r>
      <w:r>
        <w:rPr>
          <w:rFonts w:hint="eastAsia" w:ascii="宋体" w:hAnsi="宋体" w:eastAsia="宋体" w:cs="宋体"/>
          <w:bCs/>
          <w:color w:val="auto"/>
          <w:kern w:val="2"/>
          <w:sz w:val="21"/>
          <w:szCs w:val="21"/>
          <w:lang w:val="en-US" w:eastAsia="zh-CN" w:bidi="ar"/>
        </w:rPr>
        <w:t>剧毒化学品和</w:t>
      </w:r>
      <w:r>
        <w:rPr>
          <w:rFonts w:hint="eastAsia" w:ascii="宋体" w:hAnsi="宋体" w:eastAsia="宋体" w:cs="宋体"/>
          <w:color w:val="auto"/>
          <w:kern w:val="2"/>
          <w:sz w:val="21"/>
          <w:szCs w:val="21"/>
          <w:lang w:val="en-US" w:eastAsia="zh-CN" w:bidi="ar"/>
        </w:rPr>
        <w:t>第一类非药品类易制毒化学品</w:t>
      </w:r>
      <w:r>
        <w:rPr>
          <w:rFonts w:hint="eastAsia" w:ascii="宋体" w:hAnsi="宋体" w:eastAsia="宋体" w:cs="宋体"/>
          <w:color w:val="auto"/>
          <w:sz w:val="21"/>
          <w:szCs w:val="21"/>
          <w:lang w:val="en-US" w:eastAsia="zh-CN" w:bidi="ar"/>
        </w:rPr>
        <w:t>实行双人收发、双人保管。</w:t>
      </w:r>
      <w:r>
        <w:rPr>
          <w:rFonts w:ascii="宋体" w:hAnsi="宋体" w:eastAsia="宋体" w:cs="宋体"/>
          <w:color w:val="auto"/>
          <w:sz w:val="21"/>
          <w:szCs w:val="21"/>
          <w:lang w:eastAsia="zh-CN"/>
        </w:rPr>
        <w:t>并将</w:t>
      </w:r>
      <w:r>
        <w:rPr>
          <w:rFonts w:hint="eastAsia"/>
          <w:color w:val="auto"/>
          <w:szCs w:val="21"/>
          <w:lang w:bidi="ar"/>
        </w:rPr>
        <w:t>储存剧毒化学品的数量、地点以及管理人员的情况，报当地公安部门和应急管理部门备案。</w:t>
      </w:r>
    </w:p>
    <w:p w14:paraId="64BBAC8C">
      <w:pPr>
        <w:pStyle w:val="79"/>
        <w:spacing w:before="160" w:after="160"/>
        <w:rPr>
          <w:color w:val="auto"/>
          <w:szCs w:val="21"/>
        </w:rPr>
      </w:pPr>
      <w:bookmarkStart w:id="1252" w:name="_Toc1834"/>
      <w:bookmarkStart w:id="1253" w:name="_Toc24122"/>
      <w:bookmarkStart w:id="1254" w:name="_Toc29045"/>
      <w:bookmarkStart w:id="1255" w:name="_Toc13709"/>
      <w:bookmarkStart w:id="1256" w:name="_Toc6832"/>
      <w:bookmarkStart w:id="1257" w:name="_Toc10908"/>
      <w:bookmarkStart w:id="1258" w:name="_Toc5147"/>
      <w:bookmarkStart w:id="1259" w:name="_Toc1341"/>
      <w:bookmarkStart w:id="1260" w:name="_Toc16994"/>
      <w:bookmarkStart w:id="1261" w:name="_Toc6620"/>
      <w:bookmarkStart w:id="1262" w:name="_Toc18001"/>
      <w:bookmarkStart w:id="1263" w:name="_Toc24951"/>
      <w:bookmarkStart w:id="1264" w:name="_Toc14598"/>
      <w:bookmarkStart w:id="1265" w:name="_Toc22317"/>
      <w:bookmarkStart w:id="1266" w:name="_Toc25018"/>
      <w:bookmarkStart w:id="1267" w:name="_Toc5490"/>
      <w:bookmarkStart w:id="1268" w:name="_Toc27487"/>
      <w:bookmarkStart w:id="1269" w:name="_Toc4152"/>
      <w:bookmarkStart w:id="1270" w:name="_Toc17933"/>
      <w:bookmarkStart w:id="1271" w:name="_Toc17475"/>
      <w:bookmarkStart w:id="1272" w:name="_Toc5204"/>
      <w:bookmarkStart w:id="1273" w:name="_Toc29077"/>
      <w:r>
        <w:rPr>
          <w:rFonts w:hint="eastAsia"/>
          <w:color w:val="auto"/>
          <w:szCs w:val="21"/>
        </w:rPr>
        <w:t>重大危险源</w:t>
      </w:r>
      <w:bookmarkEnd w:id="1252"/>
      <w:r>
        <w:rPr>
          <w:rFonts w:hint="eastAsia"/>
          <w:color w:val="auto"/>
          <w:szCs w:val="21"/>
        </w:rPr>
        <w:t>管理</w:t>
      </w:r>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p>
    <w:p w14:paraId="4489EB05">
      <w:pPr>
        <w:pStyle w:val="171"/>
        <w:ind w:left="10" w:hanging="10" w:hangingChars="5"/>
        <w:textAlignment w:val="center"/>
        <w:rPr>
          <w:rFonts w:hint="eastAsia"/>
          <w:color w:val="auto"/>
          <w:szCs w:val="21"/>
          <w:lang w:bidi="ar"/>
        </w:rPr>
      </w:pPr>
      <w:r>
        <w:rPr>
          <w:rFonts w:hint="eastAsia"/>
          <w:color w:val="auto"/>
          <w:szCs w:val="21"/>
          <w:lang w:bidi="ar"/>
        </w:rPr>
        <w:t>企业应按照GB 18218等规定进行重大危险源辨识、分级，并登记建档。</w:t>
      </w:r>
    </w:p>
    <w:p w14:paraId="7E4D5AAA">
      <w:pPr>
        <w:pStyle w:val="171"/>
        <w:ind w:left="10" w:hanging="10" w:hangingChars="5"/>
        <w:textAlignment w:val="center"/>
        <w:rPr>
          <w:color w:val="auto"/>
          <w:szCs w:val="21"/>
          <w:lang w:bidi="ar"/>
        </w:rPr>
      </w:pPr>
      <w:r>
        <w:rPr>
          <w:rFonts w:hint="eastAsia"/>
          <w:color w:val="auto"/>
          <w:szCs w:val="21"/>
          <w:lang w:bidi="ar"/>
        </w:rPr>
        <w:t>企业应对重大危险源进行安全评估，形成重大危险源安全评估报告。</w:t>
      </w:r>
    </w:p>
    <w:p w14:paraId="5B074EB9">
      <w:pPr>
        <w:pStyle w:val="171"/>
        <w:ind w:left="10" w:hanging="10" w:hangingChars="5"/>
        <w:textAlignment w:val="center"/>
        <w:rPr>
          <w:color w:val="auto"/>
          <w:szCs w:val="21"/>
          <w:highlight w:val="none"/>
          <w:lang w:bidi="ar"/>
        </w:rPr>
      </w:pPr>
      <w:r>
        <w:rPr>
          <w:rFonts w:hint="eastAsia"/>
          <w:color w:val="auto"/>
          <w:szCs w:val="21"/>
          <w:highlight w:val="none"/>
          <w:lang w:bidi="ar"/>
        </w:rPr>
        <w:t>企业</w:t>
      </w:r>
      <w:r>
        <w:rPr>
          <w:rFonts w:hint="default"/>
          <w:color w:val="auto"/>
          <w:szCs w:val="21"/>
          <w:highlight w:val="none"/>
          <w:lang w:bidi="ar"/>
        </w:rPr>
        <w:t>应</w:t>
      </w:r>
      <w:r>
        <w:rPr>
          <w:rFonts w:hint="eastAsia"/>
          <w:color w:val="auto"/>
          <w:szCs w:val="21"/>
          <w:highlight w:val="none"/>
          <w:lang w:bidi="ar"/>
        </w:rPr>
        <w:t>按国家有关规定对涉及重大危险源的化工生产装置、罐区装备满足安全生产要求的自动化控制系统、紧急切断装置、安全仪表系统等。</w:t>
      </w:r>
    </w:p>
    <w:p w14:paraId="235F0416">
      <w:pPr>
        <w:pStyle w:val="171"/>
        <w:widowControl w:val="0"/>
        <w:ind w:left="10" w:hanging="10" w:hangingChars="5"/>
        <w:textAlignment w:val="center"/>
        <w:rPr>
          <w:color w:val="auto"/>
          <w:szCs w:val="21"/>
          <w:lang w:bidi="ar"/>
        </w:rPr>
      </w:pPr>
      <w:r>
        <w:rPr>
          <w:rFonts w:hint="eastAsia"/>
          <w:color w:val="auto"/>
          <w:szCs w:val="21"/>
          <w:lang w:bidi="ar"/>
        </w:rPr>
        <w:t>企业应定期对重大危险源的设备设施进行检测、检验、维护、保养，保证重大危险源的设备设施和</w:t>
      </w:r>
      <w:r>
        <w:rPr>
          <w:rFonts w:hint="default"/>
          <w:color w:val="auto"/>
          <w:szCs w:val="21"/>
          <w:lang w:bidi="ar"/>
        </w:rPr>
        <w:t>危险化学品</w:t>
      </w:r>
      <w:r>
        <w:rPr>
          <w:rFonts w:hint="eastAsia"/>
          <w:color w:val="auto"/>
          <w:szCs w:val="21"/>
          <w:lang w:bidi="ar"/>
        </w:rPr>
        <w:t>安全生产风险监测预警系统有效、可靠运行。</w:t>
      </w:r>
    </w:p>
    <w:p w14:paraId="7610BB21">
      <w:pPr>
        <w:pStyle w:val="171"/>
        <w:ind w:left="10" w:hanging="10" w:hangingChars="5"/>
        <w:textAlignment w:val="center"/>
        <w:rPr>
          <w:color w:val="auto"/>
          <w:szCs w:val="21"/>
          <w:lang w:bidi="ar"/>
        </w:rPr>
      </w:pPr>
      <w:r>
        <w:rPr>
          <w:rFonts w:hint="eastAsia"/>
          <w:color w:val="auto"/>
          <w:szCs w:val="21"/>
          <w:lang w:bidi="ar"/>
        </w:rPr>
        <w:t>企业应对</w:t>
      </w:r>
      <w:bookmarkStart w:id="1274" w:name="_Toc6018"/>
      <w:bookmarkStart w:id="1275" w:name="_Toc11819"/>
      <w:bookmarkStart w:id="1276" w:name="_Toc12394"/>
      <w:r>
        <w:rPr>
          <w:rFonts w:hint="eastAsia" w:hAnsi="宋体" w:cs="宋体"/>
          <w:color w:val="auto"/>
          <w:szCs w:val="21"/>
        </w:rPr>
        <w:t>每一处重大危险源指定安全包保责任人，包括主要负责人、技术负责人和操作负责人。</w:t>
      </w:r>
      <w:bookmarkEnd w:id="1274"/>
      <w:bookmarkEnd w:id="1275"/>
      <w:bookmarkEnd w:id="1276"/>
      <w:bookmarkStart w:id="1277" w:name="_Toc8495"/>
      <w:bookmarkStart w:id="1278" w:name="_Toc26395"/>
      <w:bookmarkStart w:id="1279" w:name="_Toc7296"/>
      <w:bookmarkStart w:id="1280" w:name="_Toc22329"/>
      <w:bookmarkStart w:id="1281" w:name="_Toc231"/>
      <w:bookmarkStart w:id="1282" w:name="_Toc11252"/>
      <w:r>
        <w:rPr>
          <w:rFonts w:hint="eastAsia" w:hAnsi="宋体" w:cs="宋体"/>
          <w:color w:val="auto"/>
          <w:szCs w:val="21"/>
          <w:lang w:val="zh-CN"/>
        </w:rPr>
        <w:t>安全包保责任人</w:t>
      </w:r>
      <w:r>
        <w:rPr>
          <w:rFonts w:hint="eastAsia" w:hAnsi="宋体" w:cs="宋体"/>
          <w:color w:val="auto"/>
          <w:szCs w:val="21"/>
        </w:rPr>
        <w:t>应利用双重预防机制数字化系统如实记录</w:t>
      </w:r>
      <w:r>
        <w:rPr>
          <w:rFonts w:hint="eastAsia" w:hAnsi="宋体" w:cs="宋体"/>
          <w:color w:val="auto"/>
          <w:szCs w:val="21"/>
          <w:lang w:val="zh-CN"/>
        </w:rPr>
        <w:t>安全包保履职记录。</w:t>
      </w:r>
      <w:bookmarkEnd w:id="1277"/>
      <w:bookmarkEnd w:id="1278"/>
      <w:bookmarkEnd w:id="1279"/>
      <w:bookmarkEnd w:id="1280"/>
      <w:bookmarkEnd w:id="1281"/>
      <w:bookmarkEnd w:id="1282"/>
    </w:p>
    <w:p w14:paraId="2CD5B897">
      <w:pPr>
        <w:pStyle w:val="79"/>
        <w:spacing w:before="160" w:after="160"/>
        <w:rPr>
          <w:color w:val="auto"/>
          <w:szCs w:val="21"/>
        </w:rPr>
      </w:pPr>
      <w:bookmarkStart w:id="1283" w:name="_Toc8327"/>
      <w:bookmarkStart w:id="1284" w:name="_Toc9130"/>
      <w:bookmarkStart w:id="1285" w:name="_Toc20689"/>
      <w:bookmarkStart w:id="1286" w:name="_Toc23074"/>
      <w:bookmarkStart w:id="1287" w:name="_Toc19010"/>
      <w:bookmarkStart w:id="1288" w:name="_Toc7787"/>
      <w:bookmarkStart w:id="1289" w:name="_Toc9258"/>
      <w:bookmarkStart w:id="1290" w:name="_Toc637"/>
      <w:bookmarkStart w:id="1291" w:name="_Toc4758"/>
      <w:bookmarkStart w:id="1292" w:name="_Toc3170"/>
      <w:bookmarkStart w:id="1293" w:name="_Toc26583"/>
      <w:bookmarkStart w:id="1294" w:name="_Toc21630"/>
      <w:bookmarkStart w:id="1295" w:name="_Toc13037"/>
      <w:bookmarkStart w:id="1296" w:name="_Toc15918"/>
      <w:bookmarkStart w:id="1297" w:name="_Toc631"/>
      <w:bookmarkStart w:id="1298" w:name="_Toc20015"/>
      <w:bookmarkStart w:id="1299" w:name="_Toc20385"/>
      <w:bookmarkStart w:id="1300" w:name="_Toc19162"/>
      <w:bookmarkStart w:id="1301" w:name="_Toc10704"/>
      <w:bookmarkStart w:id="1302" w:name="_Toc8325"/>
      <w:bookmarkStart w:id="1303" w:name="_Toc30253"/>
      <w:bookmarkStart w:id="1304" w:name="_Toc15457"/>
      <w:r>
        <w:rPr>
          <w:rFonts w:hint="eastAsia"/>
          <w:color w:val="auto"/>
          <w:szCs w:val="21"/>
        </w:rPr>
        <w:t>分析化验室</w:t>
      </w:r>
      <w:r>
        <w:rPr>
          <w:rFonts w:hint="default"/>
          <w:color w:val="auto"/>
          <w:szCs w:val="21"/>
        </w:rPr>
        <w:t>（实验室）</w:t>
      </w:r>
      <w:r>
        <w:rPr>
          <w:rFonts w:hint="eastAsia"/>
          <w:color w:val="auto"/>
          <w:szCs w:val="21"/>
        </w:rPr>
        <w:t>安全</w:t>
      </w:r>
      <w:bookmarkEnd w:id="1283"/>
      <w:bookmarkEnd w:id="1284"/>
      <w:bookmarkEnd w:id="1285"/>
      <w:bookmarkEnd w:id="1286"/>
    </w:p>
    <w:p w14:paraId="23C44875">
      <w:pPr>
        <w:pStyle w:val="171"/>
        <w:ind w:left="10" w:hanging="10" w:hangingChars="5"/>
        <w:textAlignment w:val="center"/>
        <w:rPr>
          <w:rFonts w:hint="eastAsia"/>
          <w:color w:val="auto"/>
          <w:szCs w:val="21"/>
          <w:lang w:bidi="ar"/>
        </w:rPr>
      </w:pPr>
      <w:r>
        <w:rPr>
          <w:rFonts w:hint="eastAsia"/>
          <w:color w:val="auto"/>
          <w:szCs w:val="21"/>
          <w:lang w:bidi="ar"/>
        </w:rPr>
        <w:t>企业应对分析化验室</w:t>
      </w:r>
      <w:r>
        <w:rPr>
          <w:rFonts w:hint="default"/>
          <w:color w:val="auto"/>
          <w:szCs w:val="21"/>
          <w:lang w:bidi="ar"/>
        </w:rPr>
        <w:t>（实验室）</w:t>
      </w:r>
      <w:r>
        <w:rPr>
          <w:rFonts w:hint="eastAsia"/>
          <w:color w:val="auto"/>
          <w:szCs w:val="21"/>
          <w:lang w:bidi="ar"/>
        </w:rPr>
        <w:t>规范管理，建立</w:t>
      </w:r>
      <w:r>
        <w:rPr>
          <w:rFonts w:hint="default"/>
          <w:color w:val="auto"/>
          <w:szCs w:val="21"/>
          <w:lang w:bidi="ar"/>
        </w:rPr>
        <w:t>化学品、</w:t>
      </w:r>
      <w:r>
        <w:rPr>
          <w:rFonts w:hint="eastAsia"/>
          <w:color w:val="auto"/>
          <w:szCs w:val="21"/>
          <w:lang w:bidi="ar"/>
        </w:rPr>
        <w:t>分析化验室仪器/设备管理台账。</w:t>
      </w:r>
    </w:p>
    <w:p w14:paraId="2E327863">
      <w:pPr>
        <w:pStyle w:val="171"/>
        <w:ind w:left="10" w:hanging="10" w:hangingChars="5"/>
        <w:textAlignment w:val="center"/>
        <w:rPr>
          <w:rFonts w:hint="eastAsia"/>
          <w:color w:val="auto"/>
          <w:szCs w:val="21"/>
          <w:lang w:bidi="ar"/>
        </w:rPr>
      </w:pPr>
      <w:r>
        <w:rPr>
          <w:rFonts w:hint="default" w:ascii="宋体" w:hAnsi="宋体" w:eastAsia="宋体" w:cs="宋体"/>
          <w:i w:val="0"/>
          <w:iCs w:val="0"/>
          <w:caps w:val="0"/>
          <w:color w:val="auto"/>
          <w:spacing w:val="0"/>
          <w:sz w:val="21"/>
          <w:szCs w:val="21"/>
          <w:shd w:val="clear" w:color="auto" w:fill="FFFFFF"/>
        </w:rPr>
        <w:t>分析化验</w:t>
      </w:r>
      <w:r>
        <w:rPr>
          <w:rFonts w:hint="eastAsia" w:ascii="宋体" w:hAnsi="宋体" w:eastAsia="宋体" w:cs="宋体"/>
          <w:i w:val="0"/>
          <w:iCs w:val="0"/>
          <w:caps w:val="0"/>
          <w:color w:val="auto"/>
          <w:spacing w:val="0"/>
          <w:sz w:val="21"/>
          <w:szCs w:val="21"/>
          <w:shd w:val="clear" w:color="auto" w:fill="FFFFFF"/>
        </w:rPr>
        <w:t>室</w:t>
      </w:r>
      <w:r>
        <w:rPr>
          <w:rFonts w:hint="default" w:hAnsi="宋体" w:cs="宋体"/>
          <w:i w:val="0"/>
          <w:iCs w:val="0"/>
          <w:caps w:val="0"/>
          <w:color w:val="auto"/>
          <w:spacing w:val="0"/>
          <w:sz w:val="21"/>
          <w:szCs w:val="21"/>
          <w:shd w:val="clear" w:color="auto" w:fill="FFFFFF"/>
        </w:rPr>
        <w:t>（实验室）</w:t>
      </w:r>
      <w:r>
        <w:rPr>
          <w:rFonts w:hint="eastAsia" w:ascii="宋体" w:hAnsi="宋体" w:eastAsia="宋体" w:cs="宋体"/>
          <w:i w:val="0"/>
          <w:iCs w:val="0"/>
          <w:caps w:val="0"/>
          <w:color w:val="auto"/>
          <w:spacing w:val="0"/>
          <w:sz w:val="21"/>
          <w:szCs w:val="21"/>
          <w:shd w:val="clear" w:color="auto" w:fill="FFFFFF"/>
        </w:rPr>
        <w:t>应设置</w:t>
      </w:r>
      <w:r>
        <w:rPr>
          <w:rFonts w:hint="default" w:hAnsi="宋体" w:cs="宋体"/>
          <w:i w:val="0"/>
          <w:iCs w:val="0"/>
          <w:caps w:val="0"/>
          <w:color w:val="auto"/>
          <w:spacing w:val="0"/>
          <w:sz w:val="21"/>
          <w:szCs w:val="21"/>
          <w:shd w:val="clear" w:color="auto" w:fill="FFFFFF"/>
        </w:rPr>
        <w:t>在</w:t>
      </w:r>
      <w:r>
        <w:rPr>
          <w:rFonts w:hint="eastAsia" w:ascii="宋体" w:hAnsi="宋体" w:eastAsia="宋体" w:cs="宋体"/>
          <w:i w:val="0"/>
          <w:iCs w:val="0"/>
          <w:caps w:val="0"/>
          <w:color w:val="auto"/>
          <w:spacing w:val="0"/>
          <w:sz w:val="21"/>
          <w:szCs w:val="21"/>
          <w:shd w:val="clear" w:color="auto" w:fill="FFFFFF"/>
        </w:rPr>
        <w:t>符合安全、消防相关技术标准要求的</w:t>
      </w:r>
      <w:r>
        <w:rPr>
          <w:rFonts w:hint="default" w:hAnsi="宋体" w:cs="宋体"/>
          <w:i w:val="0"/>
          <w:iCs w:val="0"/>
          <w:caps w:val="0"/>
          <w:color w:val="auto"/>
          <w:spacing w:val="0"/>
          <w:sz w:val="21"/>
          <w:szCs w:val="21"/>
          <w:shd w:val="clear" w:color="auto" w:fill="FFFFFF"/>
        </w:rPr>
        <w:t>建筑物内，按照标准要求</w:t>
      </w:r>
      <w:r>
        <w:rPr>
          <w:rFonts w:hint="eastAsia"/>
          <w:color w:val="auto"/>
          <w:szCs w:val="21"/>
          <w:lang w:bidi="ar"/>
        </w:rPr>
        <w:t>配备必要的火灾报警器、可燃气体报警器、有毒气体报警器等安全报警设施，使用或储存惰性气体的房间应配备氧气报警器</w:t>
      </w:r>
      <w:r>
        <w:rPr>
          <w:rFonts w:hint="default"/>
          <w:color w:val="auto"/>
          <w:szCs w:val="21"/>
          <w:lang w:bidi="ar"/>
        </w:rPr>
        <w:t>，并确保功能完好</w:t>
      </w:r>
      <w:r>
        <w:rPr>
          <w:rFonts w:hint="eastAsia"/>
          <w:color w:val="auto"/>
          <w:szCs w:val="21"/>
          <w:lang w:bidi="ar"/>
        </w:rPr>
        <w:t>。</w:t>
      </w:r>
      <w:r>
        <w:rPr>
          <w:rFonts w:ascii="宋体" w:hAnsi="宋体" w:eastAsia="宋体" w:cs="宋体"/>
          <w:color w:val="auto"/>
          <w:sz w:val="24"/>
          <w:szCs w:val="24"/>
        </w:rPr>
        <w:t xml:space="preserve">  </w:t>
      </w:r>
    </w:p>
    <w:p w14:paraId="5DFEB338">
      <w:pPr>
        <w:pStyle w:val="171"/>
        <w:ind w:left="10" w:hanging="10" w:hangingChars="5"/>
        <w:textAlignment w:val="center"/>
        <w:rPr>
          <w:rFonts w:hint="eastAsia"/>
          <w:color w:val="auto"/>
          <w:szCs w:val="21"/>
          <w:lang w:bidi="ar"/>
        </w:rPr>
      </w:pPr>
      <w:r>
        <w:rPr>
          <w:rFonts w:hint="default"/>
          <w:color w:val="auto"/>
          <w:szCs w:val="21"/>
          <w:lang w:bidi="ar"/>
        </w:rPr>
        <w:t>分析化验室（实验室）相关的化学品</w:t>
      </w:r>
      <w:r>
        <w:rPr>
          <w:rFonts w:hint="default" w:ascii="宋体" w:hAnsi="宋体" w:eastAsia="宋体" w:cs="宋体"/>
          <w:i w:val="0"/>
          <w:iCs w:val="0"/>
          <w:caps w:val="0"/>
          <w:color w:val="auto"/>
          <w:spacing w:val="0"/>
          <w:sz w:val="21"/>
          <w:szCs w:val="21"/>
          <w:shd w:val="clear" w:color="auto" w:fill="FFFFFF"/>
        </w:rPr>
        <w:t>储存数量、条件等应满足相关标准要求。</w:t>
      </w:r>
    </w:p>
    <w:p w14:paraId="70C3A7CD">
      <w:pPr>
        <w:pStyle w:val="171"/>
        <w:ind w:left="10" w:hanging="10" w:hangingChars="5"/>
        <w:textAlignment w:val="center"/>
        <w:rPr>
          <w:rFonts w:hint="eastAsia"/>
          <w:color w:val="auto"/>
          <w:szCs w:val="21"/>
          <w:lang w:bidi="ar"/>
        </w:rPr>
      </w:pPr>
      <w:r>
        <w:rPr>
          <w:rFonts w:hint="eastAsia"/>
          <w:color w:val="auto"/>
          <w:szCs w:val="21"/>
          <w:lang w:bidi="ar"/>
        </w:rPr>
        <w:t>分析化验室</w:t>
      </w:r>
      <w:r>
        <w:rPr>
          <w:rFonts w:hint="default"/>
          <w:color w:val="auto"/>
          <w:szCs w:val="21"/>
          <w:lang w:bidi="ar"/>
        </w:rPr>
        <w:t>（实验室）</w:t>
      </w:r>
      <w:r>
        <w:rPr>
          <w:rFonts w:hint="eastAsia"/>
          <w:color w:val="auto"/>
          <w:szCs w:val="21"/>
          <w:lang w:bidi="ar"/>
        </w:rPr>
        <w:t>应设置符合规范要求的通风橱、排风罩等局部排风系统，通风能力应与当前分析化验室</w:t>
      </w:r>
      <w:r>
        <w:rPr>
          <w:rFonts w:hint="default"/>
          <w:color w:val="auto"/>
          <w:szCs w:val="21"/>
          <w:lang w:bidi="ar"/>
        </w:rPr>
        <w:t>（实验室）</w:t>
      </w:r>
      <w:r>
        <w:rPr>
          <w:rFonts w:hint="eastAsia"/>
          <w:color w:val="auto"/>
          <w:szCs w:val="21"/>
          <w:lang w:bidi="ar"/>
        </w:rPr>
        <w:t>运行情况相适应。</w:t>
      </w:r>
    </w:p>
    <w:p w14:paraId="1C33B812">
      <w:pPr>
        <w:pStyle w:val="114"/>
        <w:spacing w:before="160" w:after="160"/>
        <w:rPr>
          <w:color w:val="auto"/>
          <w:szCs w:val="21"/>
        </w:rPr>
      </w:pPr>
      <w:bookmarkStart w:id="1305" w:name="_Toc25924"/>
      <w:bookmarkStart w:id="1306" w:name="_Toc8394"/>
      <w:bookmarkStart w:id="1307" w:name="_Toc6275"/>
      <w:bookmarkStart w:id="1308" w:name="_Toc22727"/>
      <w:r>
        <w:rPr>
          <w:rFonts w:hint="eastAsia"/>
          <w:color w:val="auto"/>
          <w:szCs w:val="21"/>
        </w:rPr>
        <w:t>变更管理</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p>
    <w:p w14:paraId="54821E43">
      <w:pPr>
        <w:pStyle w:val="79"/>
        <w:spacing w:before="160" w:after="160"/>
        <w:rPr>
          <w:color w:val="auto"/>
          <w:szCs w:val="21"/>
        </w:rPr>
      </w:pPr>
      <w:bookmarkStart w:id="1309" w:name="_Toc15589"/>
      <w:bookmarkStart w:id="1310" w:name="_Toc12863"/>
      <w:bookmarkStart w:id="1311" w:name="_Toc26186"/>
      <w:bookmarkStart w:id="1312" w:name="_Toc19936"/>
      <w:bookmarkStart w:id="1313" w:name="_Toc16407"/>
      <w:bookmarkStart w:id="1314" w:name="_Toc13866"/>
      <w:bookmarkStart w:id="1315" w:name="_Toc30224"/>
      <w:bookmarkStart w:id="1316" w:name="_Toc6960"/>
      <w:bookmarkStart w:id="1317" w:name="_Toc28959"/>
      <w:bookmarkStart w:id="1318" w:name="_Toc24916"/>
      <w:bookmarkStart w:id="1319" w:name="_Toc7693"/>
      <w:bookmarkStart w:id="1320" w:name="_Toc7446"/>
      <w:bookmarkStart w:id="1321" w:name="_Toc21468"/>
      <w:bookmarkStart w:id="1322" w:name="_Toc31412"/>
      <w:bookmarkStart w:id="1323" w:name="_Toc2887"/>
      <w:bookmarkStart w:id="1324" w:name="_Toc22198"/>
      <w:bookmarkStart w:id="1325" w:name="_Toc2268"/>
      <w:bookmarkStart w:id="1326" w:name="_Toc13743"/>
      <w:bookmarkStart w:id="1327" w:name="_Toc1018"/>
      <w:bookmarkStart w:id="1328" w:name="_Toc16736"/>
      <w:bookmarkStart w:id="1329" w:name="_Toc22995"/>
      <w:bookmarkStart w:id="1330" w:name="_Toc19824"/>
      <w:r>
        <w:rPr>
          <w:rFonts w:hint="eastAsia"/>
          <w:color w:val="auto"/>
          <w:szCs w:val="21"/>
        </w:rPr>
        <w:t>分类</w:t>
      </w:r>
      <w:bookmarkEnd w:id="1309"/>
      <w:bookmarkEnd w:id="1310"/>
      <w:bookmarkEnd w:id="1311"/>
      <w:bookmarkEnd w:id="1312"/>
      <w:bookmarkEnd w:id="1313"/>
      <w:r>
        <w:rPr>
          <w:rFonts w:hint="eastAsia"/>
          <w:color w:val="auto"/>
          <w:szCs w:val="21"/>
        </w:rPr>
        <w:t>与分级</w:t>
      </w:r>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p>
    <w:p w14:paraId="45E5FC43">
      <w:pPr>
        <w:pStyle w:val="171"/>
        <w:ind w:left="10" w:hangingChars="5"/>
        <w:outlineLvl w:val="9"/>
        <w:rPr>
          <w:rFonts w:hint="eastAsia" w:ascii="宋体" w:hAnsi="Times New Roman" w:eastAsia="宋体" w:cs="Times New Roman"/>
          <w:color w:val="auto"/>
          <w:szCs w:val="21"/>
          <w:lang w:bidi="ar"/>
        </w:rPr>
      </w:pPr>
      <w:r>
        <w:rPr>
          <w:rFonts w:hint="eastAsia" w:ascii="宋体" w:hAnsi="Times New Roman" w:eastAsia="宋体" w:cs="Times New Roman"/>
          <w:color w:val="auto"/>
          <w:szCs w:val="21"/>
          <w:lang w:bidi="ar"/>
        </w:rPr>
        <w:t>企业应</w:t>
      </w:r>
      <w:r>
        <w:rPr>
          <w:rFonts w:hint="eastAsia" w:ascii="宋体" w:hAnsi="Times New Roman" w:eastAsia="宋体" w:cs="Times New Roman"/>
          <w:color w:val="auto"/>
          <w:szCs w:val="21"/>
          <w:lang w:val="en-US" w:bidi="ar"/>
        </w:rPr>
        <w:t>根据变更的内容、期限和影响</w:t>
      </w:r>
      <w:r>
        <w:rPr>
          <w:rFonts w:hint="default" w:ascii="宋体" w:hAnsi="Times New Roman" w:eastAsia="宋体" w:cs="Times New Roman"/>
          <w:color w:val="auto"/>
          <w:szCs w:val="21"/>
          <w:lang w:bidi="ar"/>
        </w:rPr>
        <w:t>对</w:t>
      </w:r>
      <w:r>
        <w:rPr>
          <w:rFonts w:hint="eastAsia" w:ascii="宋体" w:hAnsi="Times New Roman" w:eastAsia="宋体" w:cs="Times New Roman"/>
          <w:color w:val="auto"/>
          <w:szCs w:val="21"/>
          <w:lang w:bidi="ar"/>
        </w:rPr>
        <w:t>变更</w:t>
      </w:r>
      <w:r>
        <w:rPr>
          <w:rFonts w:hint="default" w:ascii="宋体" w:hAnsi="Times New Roman" w:eastAsia="宋体" w:cs="Times New Roman"/>
          <w:color w:val="auto"/>
          <w:szCs w:val="21"/>
          <w:lang w:bidi="ar"/>
        </w:rPr>
        <w:t>进行</w:t>
      </w:r>
      <w:r>
        <w:rPr>
          <w:rFonts w:hint="eastAsia" w:ascii="宋体" w:hAnsi="Times New Roman" w:eastAsia="宋体" w:cs="Times New Roman"/>
          <w:color w:val="auto"/>
          <w:szCs w:val="21"/>
          <w:lang w:bidi="ar"/>
        </w:rPr>
        <w:t>分类标准</w:t>
      </w:r>
      <w:r>
        <w:rPr>
          <w:rFonts w:hint="default" w:ascii="宋体" w:hAnsi="Times New Roman" w:eastAsia="宋体" w:cs="Times New Roman"/>
          <w:color w:val="auto"/>
          <w:szCs w:val="21"/>
          <w:lang w:bidi="ar"/>
        </w:rPr>
        <w:t>。</w:t>
      </w:r>
    </w:p>
    <w:p w14:paraId="09BFB1A4">
      <w:pPr>
        <w:pStyle w:val="171"/>
        <w:ind w:left="10" w:hanging="10" w:hangingChars="5"/>
        <w:rPr>
          <w:color w:val="auto"/>
          <w:szCs w:val="21"/>
          <w:lang w:bidi="ar"/>
        </w:rPr>
      </w:pPr>
      <w:r>
        <w:rPr>
          <w:rFonts w:hint="default" w:ascii="宋体" w:hAnsi="Times New Roman" w:eastAsia="宋体" w:cs="Times New Roman"/>
          <w:color w:val="auto"/>
          <w:szCs w:val="21"/>
          <w:lang w:eastAsia="zh-CN" w:bidi="ar"/>
        </w:rPr>
        <w:t>企业应</w:t>
      </w:r>
      <w:r>
        <w:rPr>
          <w:rFonts w:hint="eastAsia" w:ascii="宋体" w:hAnsi="Times New Roman" w:eastAsia="宋体" w:cs="Times New Roman"/>
          <w:color w:val="auto"/>
          <w:szCs w:val="21"/>
          <w:lang w:val="en-US" w:eastAsia="zh-CN" w:bidi="ar"/>
        </w:rPr>
        <w:t>对工艺技术变更、设备设施变更、管理变更等</w:t>
      </w:r>
      <w:r>
        <w:rPr>
          <w:rFonts w:hint="eastAsia"/>
          <w:color w:val="auto"/>
          <w:szCs w:val="21"/>
          <w:lang w:val="en-US" w:eastAsia="zh-CN" w:bidi="ar"/>
        </w:rPr>
        <w:t>按照变更</w:t>
      </w:r>
      <w:r>
        <w:rPr>
          <w:rFonts w:hint="eastAsia"/>
          <w:color w:val="auto"/>
          <w:szCs w:val="21"/>
          <w:lang w:bidi="ar"/>
        </w:rPr>
        <w:t>申请、风险评估、审批与实施、验收等环节进行</w:t>
      </w:r>
      <w:r>
        <w:rPr>
          <w:rFonts w:hint="eastAsia"/>
          <w:color w:val="auto"/>
          <w:szCs w:val="21"/>
          <w:lang w:val="en-US" w:eastAsia="zh-CN" w:bidi="ar"/>
        </w:rPr>
        <w:t>变更</w:t>
      </w:r>
      <w:r>
        <w:rPr>
          <w:rFonts w:hint="eastAsia"/>
          <w:color w:val="auto"/>
          <w:szCs w:val="21"/>
          <w:lang w:bidi="ar"/>
        </w:rPr>
        <w:t>规范管理</w:t>
      </w:r>
      <w:r>
        <w:rPr>
          <w:rFonts w:hint="eastAsia"/>
          <w:color w:val="auto"/>
          <w:szCs w:val="21"/>
          <w:lang w:eastAsia="zh-CN" w:bidi="ar"/>
        </w:rPr>
        <w:t>。</w:t>
      </w:r>
    </w:p>
    <w:p w14:paraId="22CADB0F">
      <w:pPr>
        <w:pStyle w:val="171"/>
        <w:ind w:left="10" w:hanging="10" w:hangingChars="5"/>
        <w:textAlignment w:val="center"/>
        <w:rPr>
          <w:color w:val="auto"/>
          <w:szCs w:val="21"/>
          <w:highlight w:val="none"/>
          <w:lang w:bidi="ar"/>
        </w:rPr>
      </w:pPr>
      <w:r>
        <w:rPr>
          <w:rFonts w:hint="eastAsia"/>
          <w:color w:val="auto"/>
          <w:szCs w:val="21"/>
          <w:highlight w:val="none"/>
          <w:lang w:bidi="ar"/>
        </w:rPr>
        <w:t>企业应根据变更带来</w:t>
      </w:r>
      <w:r>
        <w:rPr>
          <w:rFonts w:hint="eastAsia"/>
          <w:color w:val="auto"/>
          <w:szCs w:val="21"/>
          <w:highlight w:val="none"/>
          <w:lang w:val="en-US" w:eastAsia="zh-CN" w:bidi="ar"/>
        </w:rPr>
        <w:t>的</w:t>
      </w:r>
      <w:r>
        <w:rPr>
          <w:rFonts w:hint="eastAsia"/>
          <w:color w:val="auto"/>
          <w:szCs w:val="21"/>
          <w:highlight w:val="none"/>
          <w:lang w:eastAsia="zh-CN" w:bidi="ar"/>
        </w:rPr>
        <w:t>安全风险</w:t>
      </w:r>
      <w:r>
        <w:rPr>
          <w:rFonts w:hint="eastAsia"/>
          <w:color w:val="auto"/>
          <w:szCs w:val="21"/>
          <w:highlight w:val="none"/>
          <w:lang w:bidi="ar"/>
        </w:rPr>
        <w:t>大小</w:t>
      </w:r>
      <w:r>
        <w:rPr>
          <w:rFonts w:hint="eastAsia"/>
          <w:color w:val="auto"/>
          <w:szCs w:val="21"/>
          <w:highlight w:val="none"/>
          <w:lang w:eastAsia="zh-CN" w:bidi="ar"/>
        </w:rPr>
        <w:t>，</w:t>
      </w:r>
      <w:r>
        <w:rPr>
          <w:rFonts w:hint="eastAsia"/>
          <w:color w:val="auto"/>
          <w:szCs w:val="21"/>
          <w:highlight w:val="none"/>
          <w:lang w:val="en-US" w:eastAsia="zh-CN" w:bidi="ar"/>
        </w:rPr>
        <w:t>对变更进行分级管理</w:t>
      </w:r>
      <w:r>
        <w:rPr>
          <w:rFonts w:hint="default"/>
          <w:color w:val="auto"/>
          <w:szCs w:val="21"/>
          <w:highlight w:val="none"/>
          <w:lang w:bidi="ar"/>
        </w:rPr>
        <w:t>，</w:t>
      </w:r>
      <w:r>
        <w:rPr>
          <w:rFonts w:hint="eastAsia"/>
          <w:color w:val="auto"/>
          <w:szCs w:val="21"/>
          <w:highlight w:val="none"/>
          <w:lang w:val="en-US" w:eastAsia="zh-CN" w:bidi="ar"/>
        </w:rPr>
        <w:t>并确定变更审批流程</w:t>
      </w:r>
      <w:r>
        <w:rPr>
          <w:rFonts w:hint="eastAsia"/>
          <w:color w:val="auto"/>
          <w:szCs w:val="21"/>
          <w:highlight w:val="none"/>
          <w:lang w:bidi="ar"/>
        </w:rPr>
        <w:t>。</w:t>
      </w:r>
    </w:p>
    <w:p w14:paraId="41F9067A">
      <w:pPr>
        <w:pStyle w:val="79"/>
        <w:spacing w:before="160" w:after="160"/>
        <w:rPr>
          <w:color w:val="auto"/>
          <w:szCs w:val="21"/>
        </w:rPr>
      </w:pPr>
      <w:bookmarkStart w:id="1331" w:name="_Toc15577"/>
      <w:bookmarkStart w:id="1332" w:name="_Toc7553"/>
      <w:bookmarkStart w:id="1333" w:name="_Toc2571"/>
      <w:bookmarkStart w:id="1334" w:name="_Toc2721"/>
      <w:bookmarkStart w:id="1335" w:name="_Toc15864"/>
      <w:bookmarkStart w:id="1336" w:name="_Toc22699"/>
      <w:bookmarkStart w:id="1337" w:name="_Toc29321"/>
      <w:bookmarkStart w:id="1338" w:name="_Toc1224"/>
      <w:bookmarkStart w:id="1339" w:name="_Toc20400"/>
      <w:bookmarkStart w:id="1340" w:name="_Toc1262"/>
      <w:bookmarkStart w:id="1341" w:name="_Toc13206"/>
      <w:bookmarkStart w:id="1342" w:name="_Toc1557"/>
      <w:bookmarkStart w:id="1343" w:name="_Toc7272"/>
      <w:bookmarkStart w:id="1344" w:name="_Toc4229"/>
      <w:bookmarkStart w:id="1345" w:name="_Toc27148"/>
      <w:bookmarkStart w:id="1346" w:name="_Toc17543"/>
      <w:bookmarkStart w:id="1347" w:name="_Toc15330"/>
      <w:bookmarkStart w:id="1348" w:name="_Toc14058"/>
      <w:bookmarkStart w:id="1349" w:name="_Toc14056"/>
      <w:bookmarkStart w:id="1350" w:name="_Toc18612"/>
      <w:bookmarkStart w:id="1351" w:name="_Toc26695"/>
      <w:bookmarkStart w:id="1352" w:name="_Toc20412"/>
      <w:r>
        <w:rPr>
          <w:rFonts w:hint="eastAsia"/>
          <w:color w:val="auto"/>
          <w:szCs w:val="21"/>
        </w:rPr>
        <w:t>申请与</w:t>
      </w:r>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r>
        <w:rPr>
          <w:rFonts w:hint="eastAsia"/>
          <w:color w:val="auto"/>
          <w:szCs w:val="21"/>
        </w:rPr>
        <w:t>风险评估</w:t>
      </w:r>
      <w:bookmarkEnd w:id="1349"/>
      <w:bookmarkEnd w:id="1350"/>
      <w:bookmarkEnd w:id="1351"/>
      <w:bookmarkEnd w:id="1352"/>
    </w:p>
    <w:p w14:paraId="5348A185">
      <w:pPr>
        <w:pStyle w:val="171"/>
        <w:ind w:left="10" w:hanging="10" w:hangingChars="5"/>
        <w:textAlignment w:val="center"/>
        <w:rPr>
          <w:color w:val="auto"/>
          <w:szCs w:val="21"/>
          <w:lang w:bidi="ar"/>
        </w:rPr>
      </w:pPr>
      <w:r>
        <w:rPr>
          <w:rFonts w:hint="eastAsia"/>
          <w:color w:val="auto"/>
          <w:szCs w:val="21"/>
          <w:lang w:bidi="ar"/>
        </w:rPr>
        <w:t>企业在生产活动中</w:t>
      </w:r>
      <w:r>
        <w:rPr>
          <w:rFonts w:hint="eastAsia"/>
          <w:color w:val="auto"/>
          <w:szCs w:val="21"/>
          <w:lang w:val="en-US" w:eastAsia="zh-CN" w:bidi="ar"/>
        </w:rPr>
        <w:t>实施</w:t>
      </w:r>
      <w:r>
        <w:rPr>
          <w:rFonts w:hint="eastAsia"/>
          <w:color w:val="auto"/>
          <w:szCs w:val="21"/>
          <w:lang w:bidi="ar"/>
        </w:rPr>
        <w:t>的任何变更都应办理变更申请，</w:t>
      </w:r>
      <w:r>
        <w:rPr>
          <w:rFonts w:hint="eastAsia" w:hAnsi="宋体" w:cs="宋体"/>
          <w:color w:val="auto"/>
          <w:sz w:val="21"/>
          <w:szCs w:val="21"/>
          <w:lang w:bidi="ar"/>
        </w:rPr>
        <w:t>申请部门按要求填写变更申请表，由专人进行管理。</w:t>
      </w:r>
    </w:p>
    <w:p w14:paraId="689CB8F1">
      <w:pPr>
        <w:pStyle w:val="171"/>
        <w:ind w:left="10" w:hanging="10" w:hangingChars="5"/>
        <w:textAlignment w:val="center"/>
        <w:rPr>
          <w:color w:val="auto"/>
          <w:szCs w:val="21"/>
          <w:lang w:bidi="ar"/>
        </w:rPr>
      </w:pPr>
      <w:r>
        <w:rPr>
          <w:rFonts w:hint="eastAsia"/>
          <w:color w:val="auto"/>
          <w:szCs w:val="21"/>
          <w:lang w:bidi="ar"/>
        </w:rPr>
        <w:t>企业应对变更</w:t>
      </w:r>
      <w:r>
        <w:rPr>
          <w:rFonts w:hint="eastAsia"/>
          <w:color w:val="auto"/>
          <w:szCs w:val="21"/>
          <w:lang w:eastAsia="zh-CN" w:bidi="ar"/>
        </w:rPr>
        <w:t>安全风险</w:t>
      </w:r>
      <w:r>
        <w:rPr>
          <w:rFonts w:hint="eastAsia"/>
          <w:color w:val="auto"/>
          <w:szCs w:val="21"/>
          <w:lang w:bidi="ar"/>
        </w:rPr>
        <w:t>进行辨识、评估和管控。变更</w:t>
      </w:r>
      <w:r>
        <w:rPr>
          <w:rFonts w:hint="eastAsia"/>
          <w:color w:val="auto"/>
          <w:szCs w:val="21"/>
          <w:lang w:eastAsia="zh-CN" w:bidi="ar"/>
        </w:rPr>
        <w:t>安全风险</w:t>
      </w:r>
      <w:r>
        <w:rPr>
          <w:rFonts w:hint="eastAsia"/>
          <w:color w:val="auto"/>
          <w:szCs w:val="21"/>
          <w:lang w:bidi="ar"/>
        </w:rPr>
        <w:t>包括变更产生的</w:t>
      </w:r>
      <w:r>
        <w:rPr>
          <w:rFonts w:hint="eastAsia"/>
          <w:color w:val="auto"/>
          <w:szCs w:val="21"/>
          <w:lang w:eastAsia="zh-CN" w:bidi="ar"/>
        </w:rPr>
        <w:t>安全风险</w:t>
      </w:r>
      <w:r>
        <w:rPr>
          <w:rFonts w:hint="eastAsia"/>
          <w:color w:val="auto"/>
          <w:szCs w:val="21"/>
          <w:lang w:bidi="ar"/>
        </w:rPr>
        <w:t>及实施过程中的</w:t>
      </w:r>
      <w:r>
        <w:rPr>
          <w:rFonts w:hint="eastAsia"/>
          <w:color w:val="auto"/>
          <w:szCs w:val="21"/>
          <w:lang w:eastAsia="zh-CN" w:bidi="ar"/>
        </w:rPr>
        <w:t>安全风险</w:t>
      </w:r>
      <w:r>
        <w:rPr>
          <w:rFonts w:hint="eastAsia"/>
          <w:color w:val="auto"/>
          <w:szCs w:val="21"/>
          <w:lang w:bidi="ar"/>
        </w:rPr>
        <w:t>，变更实施过程中的</w:t>
      </w:r>
      <w:r>
        <w:rPr>
          <w:rFonts w:hint="eastAsia"/>
          <w:color w:val="auto"/>
          <w:szCs w:val="21"/>
          <w:lang w:eastAsia="zh-CN" w:bidi="ar"/>
        </w:rPr>
        <w:t>安全风险</w:t>
      </w:r>
      <w:r>
        <w:rPr>
          <w:rFonts w:hint="eastAsia"/>
          <w:color w:val="auto"/>
          <w:szCs w:val="21"/>
          <w:lang w:bidi="ar"/>
        </w:rPr>
        <w:t>可在作业管理过程中进行辨识与管控。</w:t>
      </w:r>
    </w:p>
    <w:p w14:paraId="2800A143">
      <w:pPr>
        <w:pStyle w:val="171"/>
        <w:ind w:left="10" w:hanging="10" w:hangingChars="5"/>
        <w:textAlignment w:val="center"/>
        <w:rPr>
          <w:color w:val="auto"/>
          <w:szCs w:val="21"/>
          <w:highlight w:val="none"/>
          <w:lang w:bidi="ar"/>
        </w:rPr>
      </w:pPr>
      <w:r>
        <w:rPr>
          <w:rFonts w:hint="eastAsia"/>
          <w:color w:val="auto"/>
          <w:szCs w:val="21"/>
          <w:lang w:bidi="ar"/>
        </w:rPr>
        <w:t>变更申请部门应将变更申请表报主管部门审核，并按管理权限报相应负责人分级批准。</w:t>
      </w:r>
      <w:r>
        <w:rPr>
          <w:rFonts w:hint="eastAsia"/>
          <w:color w:val="auto"/>
          <w:szCs w:val="21"/>
          <w:highlight w:val="none"/>
          <w:lang w:bidi="ar"/>
        </w:rPr>
        <w:t>各级审批人应审查变更流程与管理制度的符合性、变更的</w:t>
      </w:r>
      <w:r>
        <w:rPr>
          <w:rFonts w:hint="eastAsia"/>
          <w:color w:val="auto"/>
          <w:szCs w:val="21"/>
          <w:highlight w:val="none"/>
          <w:lang w:eastAsia="zh-CN" w:bidi="ar"/>
        </w:rPr>
        <w:t>安全风险</w:t>
      </w:r>
      <w:r>
        <w:rPr>
          <w:rFonts w:hint="eastAsia"/>
          <w:color w:val="auto"/>
          <w:szCs w:val="21"/>
          <w:highlight w:val="none"/>
          <w:lang w:bidi="ar"/>
        </w:rPr>
        <w:t>评估的准确性以及措施的有效性。</w:t>
      </w:r>
    </w:p>
    <w:p w14:paraId="24C2B01D">
      <w:pPr>
        <w:pStyle w:val="79"/>
        <w:spacing w:before="160" w:after="160"/>
        <w:rPr>
          <w:color w:val="auto"/>
          <w:szCs w:val="21"/>
        </w:rPr>
      </w:pPr>
      <w:bookmarkStart w:id="1353" w:name="_Toc16305"/>
      <w:bookmarkStart w:id="1354" w:name="_Toc30837"/>
      <w:bookmarkStart w:id="1355" w:name="_Toc29799"/>
      <w:bookmarkStart w:id="1356" w:name="_Toc28444"/>
      <w:bookmarkStart w:id="1357" w:name="_Toc19851"/>
      <w:bookmarkStart w:id="1358" w:name="_Toc9381"/>
      <w:bookmarkStart w:id="1359" w:name="_Toc30211"/>
      <w:bookmarkStart w:id="1360" w:name="_Toc24096"/>
      <w:bookmarkStart w:id="1361" w:name="_Toc15413"/>
      <w:bookmarkStart w:id="1362" w:name="_Toc18971"/>
      <w:bookmarkStart w:id="1363" w:name="_Toc29565"/>
      <w:bookmarkStart w:id="1364" w:name="_Toc30349"/>
      <w:bookmarkStart w:id="1365" w:name="_Toc5251"/>
      <w:bookmarkStart w:id="1366" w:name="_Toc5253"/>
      <w:bookmarkStart w:id="1367" w:name="_Toc28780"/>
      <w:bookmarkStart w:id="1368" w:name="_Toc7208"/>
      <w:bookmarkStart w:id="1369" w:name="_Toc29342"/>
      <w:bookmarkStart w:id="1370" w:name="_Toc2772"/>
      <w:bookmarkStart w:id="1371" w:name="_Toc14868"/>
      <w:bookmarkStart w:id="1372" w:name="_Toc8250"/>
      <w:bookmarkStart w:id="1373" w:name="_Toc11821"/>
      <w:bookmarkStart w:id="1374" w:name="_Toc17559"/>
      <w:r>
        <w:rPr>
          <w:rFonts w:hint="eastAsia"/>
          <w:color w:val="auto"/>
          <w:szCs w:val="21"/>
        </w:rPr>
        <w:t>审批与实施</w:t>
      </w:r>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14:paraId="7E1457B7">
      <w:pPr>
        <w:pStyle w:val="171"/>
        <w:ind w:left="10" w:hanging="10" w:hangingChars="5"/>
        <w:textAlignment w:val="center"/>
        <w:rPr>
          <w:rFonts w:hint="eastAsia"/>
          <w:color w:val="auto"/>
          <w:szCs w:val="21"/>
          <w:lang w:bidi="ar"/>
        </w:rPr>
      </w:pPr>
      <w:r>
        <w:rPr>
          <w:rFonts w:hint="eastAsia"/>
          <w:color w:val="auto"/>
          <w:szCs w:val="21"/>
          <w:lang w:bidi="ar"/>
        </w:rPr>
        <w:t>企业应按照变更审批确定的内容和范围实施变更，实施过程中应落实</w:t>
      </w:r>
      <w:r>
        <w:rPr>
          <w:rFonts w:hint="eastAsia"/>
          <w:color w:val="auto"/>
          <w:szCs w:val="21"/>
          <w:lang w:eastAsia="zh-CN" w:bidi="ar"/>
        </w:rPr>
        <w:t>安全风险</w:t>
      </w:r>
      <w:r>
        <w:rPr>
          <w:rFonts w:hint="eastAsia"/>
          <w:color w:val="auto"/>
          <w:szCs w:val="21"/>
          <w:lang w:bidi="ar"/>
        </w:rPr>
        <w:t>控制措施。超出批准范围和期限的变更应重新申请和审批。</w:t>
      </w:r>
    </w:p>
    <w:p w14:paraId="28E0A28E">
      <w:pPr>
        <w:pStyle w:val="171"/>
        <w:ind w:left="10" w:hanging="10" w:hangingChars="5"/>
        <w:textAlignment w:val="center"/>
        <w:rPr>
          <w:color w:val="auto"/>
          <w:szCs w:val="21"/>
          <w:lang w:bidi="ar"/>
        </w:rPr>
      </w:pPr>
      <w:r>
        <w:rPr>
          <w:rFonts w:hint="default"/>
          <w:color w:val="auto"/>
          <w:szCs w:val="21"/>
          <w:lang w:bidi="ar"/>
        </w:rPr>
        <w:t>企业应将</w:t>
      </w:r>
      <w:r>
        <w:rPr>
          <w:rFonts w:hint="eastAsia"/>
          <w:color w:val="auto"/>
          <w:szCs w:val="21"/>
          <w:lang w:bidi="ar"/>
        </w:rPr>
        <w:t>变更的实施情况及变更结果</w:t>
      </w:r>
      <w:r>
        <w:rPr>
          <w:rFonts w:hint="eastAsia"/>
          <w:color w:val="auto"/>
          <w:szCs w:val="21"/>
          <w:highlight w:val="none"/>
          <w:lang w:bidi="ar"/>
        </w:rPr>
        <w:t>及时告知</w:t>
      </w:r>
      <w:r>
        <w:rPr>
          <w:rFonts w:hint="default"/>
          <w:color w:val="auto"/>
          <w:szCs w:val="21"/>
          <w:highlight w:val="none"/>
          <w:lang w:bidi="ar"/>
        </w:rPr>
        <w:t>企业内</w:t>
      </w:r>
      <w:r>
        <w:rPr>
          <w:rFonts w:hint="eastAsia"/>
          <w:color w:val="auto"/>
          <w:szCs w:val="21"/>
          <w:highlight w:val="none"/>
          <w:lang w:bidi="ar"/>
        </w:rPr>
        <w:t>相关</w:t>
      </w:r>
      <w:r>
        <w:rPr>
          <w:rFonts w:hint="default"/>
          <w:color w:val="auto"/>
          <w:szCs w:val="21"/>
          <w:highlight w:val="none"/>
          <w:lang w:bidi="ar"/>
        </w:rPr>
        <w:t>部门</w:t>
      </w:r>
      <w:r>
        <w:rPr>
          <w:rFonts w:hint="eastAsia"/>
          <w:color w:val="auto"/>
          <w:szCs w:val="21"/>
          <w:lang w:bidi="ar"/>
        </w:rPr>
        <w:t>。</w:t>
      </w:r>
    </w:p>
    <w:p w14:paraId="30CF60CE">
      <w:pPr>
        <w:pStyle w:val="171"/>
        <w:ind w:left="10" w:hanging="10" w:hangingChars="5"/>
        <w:textAlignment w:val="center"/>
        <w:rPr>
          <w:color w:val="auto"/>
          <w:szCs w:val="21"/>
          <w:lang w:bidi="ar"/>
        </w:rPr>
      </w:pPr>
      <w:r>
        <w:rPr>
          <w:rFonts w:hint="eastAsia"/>
          <w:color w:val="auto"/>
          <w:szCs w:val="21"/>
          <w:lang w:bidi="ar"/>
        </w:rPr>
        <w:t>企业应对变更可能受影响的相关人员进行培训，培训内容应包括变更目的、作用、变更内容及操作方法、变更中可能的</w:t>
      </w:r>
      <w:r>
        <w:rPr>
          <w:rFonts w:hint="eastAsia"/>
          <w:color w:val="auto"/>
          <w:szCs w:val="21"/>
          <w:lang w:eastAsia="zh-CN" w:bidi="ar"/>
        </w:rPr>
        <w:t>安全风险</w:t>
      </w:r>
      <w:r>
        <w:rPr>
          <w:rFonts w:hint="eastAsia"/>
          <w:color w:val="auto"/>
          <w:szCs w:val="21"/>
          <w:lang w:bidi="ar"/>
        </w:rPr>
        <w:t>和影响、</w:t>
      </w:r>
      <w:r>
        <w:rPr>
          <w:rFonts w:hint="eastAsia"/>
          <w:color w:val="auto"/>
          <w:szCs w:val="21"/>
          <w:lang w:eastAsia="zh-CN" w:bidi="ar"/>
        </w:rPr>
        <w:t>安全风险</w:t>
      </w:r>
      <w:r>
        <w:rPr>
          <w:rFonts w:hint="eastAsia"/>
          <w:color w:val="auto"/>
          <w:szCs w:val="21"/>
          <w:lang w:bidi="ar"/>
        </w:rPr>
        <w:t>的管控措施、同类事故案例等。</w:t>
      </w:r>
    </w:p>
    <w:p w14:paraId="0208263C">
      <w:pPr>
        <w:pStyle w:val="79"/>
        <w:spacing w:before="160" w:after="160"/>
        <w:rPr>
          <w:color w:val="auto"/>
          <w:szCs w:val="21"/>
        </w:rPr>
      </w:pPr>
      <w:bookmarkStart w:id="1375" w:name="_Toc4238"/>
      <w:bookmarkStart w:id="1376" w:name="_Toc13060"/>
      <w:bookmarkStart w:id="1377" w:name="_Toc30061"/>
      <w:bookmarkStart w:id="1378" w:name="_Toc31836"/>
      <w:bookmarkStart w:id="1379" w:name="_Toc8970"/>
      <w:bookmarkStart w:id="1380" w:name="_Toc16036"/>
      <w:bookmarkStart w:id="1381" w:name="_Toc4999"/>
      <w:bookmarkStart w:id="1382" w:name="_Toc2374"/>
      <w:bookmarkStart w:id="1383" w:name="_Toc27877"/>
      <w:bookmarkStart w:id="1384" w:name="_Toc29925"/>
      <w:bookmarkStart w:id="1385" w:name="_Toc9554"/>
      <w:bookmarkStart w:id="1386" w:name="_Toc593"/>
      <w:bookmarkStart w:id="1387" w:name="_Toc22515"/>
      <w:bookmarkStart w:id="1388" w:name="_Toc32448"/>
      <w:r>
        <w:rPr>
          <w:rFonts w:hint="eastAsia"/>
          <w:color w:val="auto"/>
          <w:szCs w:val="21"/>
        </w:rPr>
        <w:t>验收与关闭</w:t>
      </w:r>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p>
    <w:p w14:paraId="61431B30">
      <w:pPr>
        <w:pStyle w:val="171"/>
        <w:ind w:left="10" w:hanging="10" w:hangingChars="5"/>
        <w:textAlignment w:val="center"/>
        <w:rPr>
          <w:rFonts w:hint="eastAsia"/>
          <w:color w:val="auto"/>
          <w:szCs w:val="21"/>
          <w:lang w:bidi="ar"/>
        </w:rPr>
      </w:pPr>
      <w:r>
        <w:rPr>
          <w:rFonts w:hint="eastAsia"/>
          <w:color w:val="auto"/>
          <w:szCs w:val="21"/>
          <w:lang w:bidi="ar"/>
        </w:rPr>
        <w:t>企业应在变更投用具备验收条件时，完成变更与预期效果符合性的验收评估。</w:t>
      </w:r>
    </w:p>
    <w:p w14:paraId="5B48DAF7">
      <w:pPr>
        <w:pStyle w:val="171"/>
        <w:ind w:left="10" w:hanging="10" w:hangingChars="5"/>
        <w:textAlignment w:val="center"/>
        <w:rPr>
          <w:rFonts w:hint="eastAsia"/>
          <w:color w:val="auto"/>
          <w:szCs w:val="21"/>
          <w:lang w:bidi="ar"/>
        </w:rPr>
      </w:pPr>
      <w:r>
        <w:rPr>
          <w:rFonts w:hint="eastAsia"/>
          <w:color w:val="auto"/>
          <w:szCs w:val="21"/>
          <w:lang w:bidi="ar"/>
        </w:rPr>
        <w:t>企业应修订变更涉及的管理制度、工艺管道及仪表流程图纸、操作规程、联锁逻辑图等文件资料。</w:t>
      </w:r>
    </w:p>
    <w:p w14:paraId="74FEB7D0">
      <w:pPr>
        <w:pStyle w:val="171"/>
        <w:ind w:left="10" w:hanging="10" w:hangingChars="5"/>
        <w:textAlignment w:val="center"/>
        <w:rPr>
          <w:color w:val="auto"/>
          <w:szCs w:val="21"/>
          <w:lang w:bidi="ar"/>
        </w:rPr>
      </w:pPr>
      <w:r>
        <w:rPr>
          <w:rFonts w:hint="eastAsia"/>
          <w:color w:val="auto"/>
          <w:szCs w:val="21"/>
          <w:lang w:bidi="ar"/>
        </w:rPr>
        <w:t>企业应建立变更管理档案，按照安全生产信息管理要求将变更过程涉及的记录资料归档。</w:t>
      </w:r>
    </w:p>
    <w:p w14:paraId="3A528D46">
      <w:pPr>
        <w:pStyle w:val="114"/>
        <w:spacing w:before="160" w:after="160"/>
        <w:rPr>
          <w:color w:val="auto"/>
          <w:szCs w:val="21"/>
        </w:rPr>
      </w:pPr>
      <w:bookmarkStart w:id="1389" w:name="_Toc5254"/>
      <w:bookmarkStart w:id="1390" w:name="_Toc12126"/>
      <w:bookmarkStart w:id="1391" w:name="_Toc1174"/>
      <w:bookmarkStart w:id="1392" w:name="_Toc14945"/>
      <w:bookmarkStart w:id="1393" w:name="_Toc20196"/>
      <w:bookmarkStart w:id="1394" w:name="_Toc18405"/>
      <w:bookmarkStart w:id="1395" w:name="_Toc21420"/>
      <w:bookmarkStart w:id="1396" w:name="_Toc7700"/>
      <w:bookmarkStart w:id="1397" w:name="_Toc22389"/>
      <w:bookmarkStart w:id="1398" w:name="_Toc5383"/>
      <w:bookmarkStart w:id="1399" w:name="_Toc13123"/>
      <w:bookmarkStart w:id="1400" w:name="_Toc4347"/>
      <w:bookmarkStart w:id="1401" w:name="_Toc18427"/>
      <w:bookmarkStart w:id="1402" w:name="_Toc16955"/>
      <w:bookmarkStart w:id="1403" w:name="_Toc1009"/>
      <w:bookmarkStart w:id="1404" w:name="_Toc8608"/>
      <w:bookmarkStart w:id="1405" w:name="_Toc18555"/>
      <w:bookmarkStart w:id="1406" w:name="_Toc15664"/>
      <w:bookmarkStart w:id="1407" w:name="_Toc12249"/>
      <w:bookmarkStart w:id="1408" w:name="_Toc24450"/>
      <w:bookmarkStart w:id="1409" w:name="_Toc10790"/>
      <w:bookmarkStart w:id="1410" w:name="_Toc13874"/>
      <w:r>
        <w:rPr>
          <w:rFonts w:hint="eastAsia"/>
          <w:color w:val="auto"/>
          <w:szCs w:val="21"/>
        </w:rPr>
        <w:t>应急准备与响应</w:t>
      </w:r>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p>
    <w:p w14:paraId="1AA4EBC6">
      <w:pPr>
        <w:pStyle w:val="79"/>
        <w:spacing w:before="160" w:after="160"/>
        <w:rPr>
          <w:color w:val="auto"/>
          <w:szCs w:val="21"/>
        </w:rPr>
      </w:pPr>
      <w:bookmarkStart w:id="1411" w:name="_Toc867"/>
      <w:bookmarkStart w:id="1412" w:name="_Toc3050"/>
      <w:bookmarkStart w:id="1413" w:name="_Toc15975"/>
      <w:bookmarkStart w:id="1414" w:name="_Toc19859"/>
      <w:bookmarkStart w:id="1415" w:name="_Toc14960"/>
      <w:bookmarkStart w:id="1416" w:name="_Toc15180"/>
      <w:bookmarkStart w:id="1417" w:name="_Toc24309"/>
      <w:bookmarkStart w:id="1418" w:name="_Toc32288"/>
      <w:bookmarkStart w:id="1419" w:name="_Toc6515"/>
      <w:bookmarkStart w:id="1420" w:name="_Toc4213"/>
      <w:bookmarkStart w:id="1421" w:name="_Toc11023"/>
      <w:bookmarkStart w:id="1422" w:name="_Toc22657"/>
      <w:bookmarkStart w:id="1423" w:name="_Toc28704"/>
      <w:bookmarkStart w:id="1424" w:name="_Toc18663"/>
      <w:bookmarkStart w:id="1425" w:name="_Toc28316"/>
      <w:bookmarkStart w:id="1426" w:name="_Toc14804"/>
      <w:bookmarkStart w:id="1427" w:name="_Toc16781"/>
      <w:bookmarkStart w:id="1428" w:name="_Toc1225"/>
      <w:bookmarkStart w:id="1429" w:name="_Toc15428"/>
      <w:bookmarkStart w:id="1430" w:name="_Toc32352"/>
      <w:bookmarkStart w:id="1431" w:name="_Toc15512"/>
      <w:bookmarkStart w:id="1432" w:name="_Toc29072"/>
      <w:r>
        <w:rPr>
          <w:rFonts w:hint="eastAsia"/>
          <w:color w:val="auto"/>
          <w:szCs w:val="21"/>
        </w:rPr>
        <w:t>应急机构和队伍</w:t>
      </w:r>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p>
    <w:p w14:paraId="698263CA">
      <w:pPr>
        <w:pStyle w:val="171"/>
        <w:ind w:left="10" w:hanging="10" w:hangingChars="5"/>
        <w:textAlignment w:val="center"/>
        <w:rPr>
          <w:color w:val="auto"/>
          <w:szCs w:val="21"/>
          <w:lang w:bidi="ar"/>
        </w:rPr>
      </w:pPr>
      <w:r>
        <w:rPr>
          <w:rFonts w:hint="eastAsia"/>
          <w:color w:val="auto"/>
          <w:szCs w:val="21"/>
          <w:lang w:bidi="ar"/>
        </w:rPr>
        <w:t>企业应建立</w:t>
      </w:r>
      <w:r>
        <w:rPr>
          <w:rFonts w:hint="eastAsia"/>
          <w:color w:val="auto"/>
          <w:szCs w:val="21"/>
          <w:highlight w:val="none"/>
          <w:lang w:bidi="ar"/>
        </w:rPr>
        <w:t>应急机构，细</w:t>
      </w:r>
      <w:r>
        <w:rPr>
          <w:rFonts w:hint="eastAsia"/>
          <w:color w:val="auto"/>
          <w:szCs w:val="21"/>
          <w:lang w:bidi="ar"/>
        </w:rPr>
        <w:t>化</w:t>
      </w:r>
      <w:r>
        <w:rPr>
          <w:rFonts w:hint="eastAsia"/>
          <w:color w:val="auto"/>
          <w:szCs w:val="21"/>
          <w:lang w:val="en-US" w:eastAsia="zh-CN" w:bidi="ar"/>
        </w:rPr>
        <w:t>应急职责，</w:t>
      </w:r>
      <w:r>
        <w:rPr>
          <w:rFonts w:hint="eastAsia"/>
          <w:color w:val="auto"/>
          <w:szCs w:val="21"/>
          <w:lang w:bidi="ar"/>
        </w:rPr>
        <w:t>落实到岗位。</w:t>
      </w:r>
    </w:p>
    <w:p w14:paraId="0DA0951E">
      <w:pPr>
        <w:pStyle w:val="171"/>
        <w:ind w:left="10" w:hanging="10" w:hangingChars="5"/>
        <w:textAlignment w:val="center"/>
        <w:rPr>
          <w:rFonts w:hint="eastAsia"/>
          <w:color w:val="auto"/>
          <w:szCs w:val="21"/>
          <w:lang w:bidi="ar"/>
        </w:rPr>
      </w:pPr>
      <w:r>
        <w:rPr>
          <w:rFonts w:hint="eastAsia"/>
          <w:color w:val="auto"/>
          <w:szCs w:val="21"/>
          <w:lang w:bidi="ar"/>
        </w:rPr>
        <w:t>企业应</w:t>
      </w:r>
      <w:r>
        <w:rPr>
          <w:rFonts w:hint="default"/>
          <w:color w:val="auto"/>
          <w:szCs w:val="21"/>
          <w:lang w:bidi="ar"/>
        </w:rPr>
        <w:t>按照国家有关要求，</w:t>
      </w:r>
      <w:r>
        <w:rPr>
          <w:rFonts w:hint="eastAsia"/>
          <w:color w:val="auto"/>
          <w:szCs w:val="21"/>
          <w:lang w:bidi="ar"/>
        </w:rPr>
        <w:t>建立与</w:t>
      </w:r>
      <w:r>
        <w:rPr>
          <w:rFonts w:hint="eastAsia"/>
          <w:color w:val="auto"/>
          <w:szCs w:val="21"/>
          <w:lang w:val="en-US" w:eastAsia="zh-CN" w:bidi="ar"/>
        </w:rPr>
        <w:t>安全</w:t>
      </w:r>
      <w:r>
        <w:rPr>
          <w:rFonts w:hint="eastAsia"/>
          <w:color w:val="auto"/>
          <w:szCs w:val="21"/>
          <w:lang w:bidi="ar"/>
        </w:rPr>
        <w:t>风险相适应的专兼职应急救援队伍，或配备专兼职救援人员，确保救援人员具备必要的专业知识和救援技能。应急救援队伍应开展预防性安全检查、安全监护等工作，为相关人员提供应急培训。</w:t>
      </w:r>
    </w:p>
    <w:p w14:paraId="2CACC94D">
      <w:pPr>
        <w:pStyle w:val="171"/>
        <w:ind w:left="10" w:hanging="10" w:hangingChars="5"/>
        <w:textAlignment w:val="center"/>
        <w:rPr>
          <w:color w:val="auto"/>
          <w:szCs w:val="21"/>
          <w:lang w:bidi="ar"/>
        </w:rPr>
      </w:pPr>
      <w:r>
        <w:rPr>
          <w:rFonts w:hint="eastAsia"/>
          <w:color w:val="auto"/>
          <w:szCs w:val="21"/>
          <w:lang w:bidi="ar"/>
        </w:rPr>
        <w:t>企业应急机构和应急救援队伍实行24小时应急值班。</w:t>
      </w:r>
    </w:p>
    <w:p w14:paraId="4F66942C">
      <w:pPr>
        <w:pStyle w:val="79"/>
        <w:spacing w:before="160" w:after="160"/>
        <w:rPr>
          <w:color w:val="auto"/>
          <w:szCs w:val="21"/>
        </w:rPr>
      </w:pPr>
      <w:bookmarkStart w:id="1433" w:name="_Toc23015"/>
      <w:bookmarkStart w:id="1434" w:name="_Toc27721"/>
      <w:bookmarkStart w:id="1435" w:name="_Toc6280"/>
      <w:bookmarkStart w:id="1436" w:name="_Toc26567"/>
      <w:bookmarkStart w:id="1437" w:name="_Toc24227"/>
      <w:bookmarkStart w:id="1438" w:name="_Toc17665"/>
      <w:bookmarkStart w:id="1439" w:name="_Toc18599"/>
      <w:bookmarkStart w:id="1440" w:name="_Toc17769"/>
      <w:bookmarkStart w:id="1441" w:name="_Toc6540"/>
      <w:bookmarkStart w:id="1442" w:name="_Toc27927"/>
      <w:bookmarkStart w:id="1443" w:name="_Toc24267"/>
      <w:bookmarkStart w:id="1444" w:name="_Toc26660"/>
      <w:bookmarkStart w:id="1445" w:name="_Toc15702"/>
      <w:bookmarkStart w:id="1446" w:name="_Toc30392"/>
      <w:bookmarkStart w:id="1447" w:name="_Toc23949"/>
      <w:bookmarkStart w:id="1448" w:name="_Toc787"/>
      <w:bookmarkStart w:id="1449" w:name="_Toc17106"/>
      <w:bookmarkStart w:id="1450" w:name="_Toc5758"/>
      <w:bookmarkStart w:id="1451" w:name="_Toc4400"/>
      <w:bookmarkStart w:id="1452" w:name="_Toc6058"/>
      <w:bookmarkStart w:id="1453" w:name="_Toc3387"/>
      <w:bookmarkStart w:id="1454" w:name="_Toc14393"/>
      <w:r>
        <w:rPr>
          <w:rFonts w:hint="eastAsia"/>
          <w:color w:val="auto"/>
          <w:szCs w:val="21"/>
        </w:rPr>
        <w:t>应急预案</w:t>
      </w:r>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p>
    <w:p w14:paraId="0B432F1D">
      <w:pPr>
        <w:pStyle w:val="171"/>
        <w:ind w:left="10" w:hanging="10" w:hangingChars="5"/>
        <w:textAlignment w:val="center"/>
        <w:rPr>
          <w:rFonts w:hint="eastAsia"/>
          <w:color w:val="auto"/>
          <w:szCs w:val="21"/>
          <w:lang w:bidi="ar"/>
        </w:rPr>
      </w:pPr>
      <w:r>
        <w:rPr>
          <w:rFonts w:hint="eastAsia"/>
          <w:color w:val="auto"/>
          <w:szCs w:val="21"/>
          <w:lang w:bidi="ar"/>
        </w:rPr>
        <w:t>企业应按国家有关法律法规、规章和</w:t>
      </w:r>
      <w:r>
        <w:rPr>
          <w:rFonts w:hint="eastAsia" w:ascii="Times New Roman"/>
          <w:color w:val="auto"/>
          <w:szCs w:val="21"/>
        </w:rPr>
        <w:t>相关国家标准、行业标准</w:t>
      </w:r>
      <w:r>
        <w:rPr>
          <w:rFonts w:hint="eastAsia"/>
          <w:color w:val="auto"/>
          <w:szCs w:val="21"/>
          <w:lang w:bidi="ar"/>
        </w:rPr>
        <w:t>规定，在</w:t>
      </w:r>
      <w:r>
        <w:rPr>
          <w:rFonts w:hint="eastAsia"/>
          <w:color w:val="auto"/>
          <w:szCs w:val="21"/>
          <w:lang w:eastAsia="zh-CN" w:bidi="ar"/>
        </w:rPr>
        <w:t>安全风险</w:t>
      </w:r>
      <w:r>
        <w:rPr>
          <w:rFonts w:hint="eastAsia"/>
          <w:color w:val="auto"/>
          <w:szCs w:val="21"/>
          <w:lang w:bidi="ar"/>
        </w:rPr>
        <w:t>分析、资源调查和案例分析的基础上，制定相应的生产安全事故应急救援预案。</w:t>
      </w:r>
    </w:p>
    <w:p w14:paraId="3C5D28C8">
      <w:pPr>
        <w:pStyle w:val="171"/>
        <w:ind w:left="10" w:hanging="10" w:hangingChars="5"/>
        <w:textAlignment w:val="center"/>
        <w:rPr>
          <w:rFonts w:hint="eastAsia"/>
          <w:color w:val="auto"/>
          <w:szCs w:val="21"/>
          <w:lang w:bidi="ar"/>
        </w:rPr>
      </w:pPr>
      <w:r>
        <w:rPr>
          <w:rFonts w:hint="default"/>
          <w:color w:val="auto"/>
          <w:szCs w:val="21"/>
          <w:lang w:bidi="ar"/>
        </w:rPr>
        <w:t>企业在</w:t>
      </w:r>
      <w:r>
        <w:rPr>
          <w:rFonts w:hint="eastAsia"/>
          <w:color w:val="auto"/>
          <w:szCs w:val="21"/>
          <w:lang w:bidi="ar"/>
        </w:rPr>
        <w:t>应急预案编制完成后应组织</w:t>
      </w:r>
      <w:r>
        <w:rPr>
          <w:rFonts w:hint="default"/>
          <w:color w:val="auto"/>
          <w:szCs w:val="21"/>
          <w:lang w:bidi="ar"/>
        </w:rPr>
        <w:t>开展</w:t>
      </w:r>
      <w:r>
        <w:rPr>
          <w:rFonts w:hint="eastAsia"/>
          <w:color w:val="auto"/>
          <w:szCs w:val="21"/>
          <w:lang w:bidi="ar"/>
        </w:rPr>
        <w:t>评审，由主要负责人签发实施</w:t>
      </w:r>
      <w:r>
        <w:rPr>
          <w:rFonts w:hint="eastAsia"/>
          <w:color w:val="auto"/>
          <w:szCs w:val="21"/>
          <w:lang w:eastAsia="zh-CN" w:bidi="ar"/>
        </w:rPr>
        <w:t>，并向县级以上人民政府应急管理部门和其他负有安全生产监督管理部门职责的部门进行备案。</w:t>
      </w:r>
    </w:p>
    <w:p w14:paraId="35167DD8">
      <w:pPr>
        <w:pStyle w:val="171"/>
        <w:ind w:left="10" w:hanging="10" w:hangingChars="5"/>
        <w:textAlignment w:val="center"/>
        <w:rPr>
          <w:rFonts w:hint="eastAsia"/>
          <w:color w:val="auto"/>
          <w:szCs w:val="21"/>
          <w:lang w:bidi="ar"/>
        </w:rPr>
      </w:pPr>
      <w:r>
        <w:rPr>
          <w:rFonts w:hint="eastAsia"/>
          <w:color w:val="auto"/>
          <w:szCs w:val="21"/>
          <w:lang w:bidi="ar"/>
        </w:rPr>
        <w:t>企业应将应急预案发放到应急相关部门、岗位和应急救援队伍。</w:t>
      </w:r>
    </w:p>
    <w:p w14:paraId="5E5387A5">
      <w:pPr>
        <w:pStyle w:val="171"/>
        <w:ind w:left="10" w:hanging="10" w:hangingChars="5"/>
        <w:textAlignment w:val="center"/>
        <w:rPr>
          <w:color w:val="auto"/>
          <w:szCs w:val="21"/>
          <w:lang w:bidi="ar"/>
        </w:rPr>
      </w:pPr>
      <w:r>
        <w:rPr>
          <w:rFonts w:hint="eastAsia"/>
          <w:color w:val="auto"/>
          <w:szCs w:val="21"/>
          <w:lang w:bidi="ar"/>
        </w:rPr>
        <w:t>企业应至少每</w:t>
      </w:r>
      <w:r>
        <w:rPr>
          <w:rFonts w:hint="eastAsia"/>
          <w:color w:val="auto"/>
          <w:szCs w:val="21"/>
          <w:lang w:val="en-US" w:eastAsia="zh-CN" w:bidi="ar"/>
        </w:rPr>
        <w:t>三</w:t>
      </w:r>
      <w:r>
        <w:rPr>
          <w:rFonts w:hint="eastAsia"/>
          <w:color w:val="auto"/>
          <w:szCs w:val="21"/>
          <w:lang w:bidi="ar"/>
        </w:rPr>
        <w:t>年组织</w:t>
      </w:r>
      <w:r>
        <w:rPr>
          <w:rFonts w:hint="default"/>
          <w:color w:val="auto"/>
          <w:szCs w:val="21"/>
          <w:lang w:bidi="ar"/>
        </w:rPr>
        <w:t>一</w:t>
      </w:r>
      <w:r>
        <w:rPr>
          <w:rFonts w:hint="eastAsia"/>
          <w:color w:val="auto"/>
          <w:szCs w:val="21"/>
          <w:lang w:bidi="ar"/>
        </w:rPr>
        <w:t>次应急预案评估，对预案内容的针对性和实用性进行分析，并对应急预案是否需要修订作出结论。</w:t>
      </w:r>
    </w:p>
    <w:p w14:paraId="5FA9DB37">
      <w:pPr>
        <w:pStyle w:val="79"/>
        <w:spacing w:before="160" w:after="160"/>
        <w:rPr>
          <w:color w:val="auto"/>
          <w:szCs w:val="21"/>
        </w:rPr>
      </w:pPr>
      <w:bookmarkStart w:id="1455" w:name="_Toc8371"/>
      <w:bookmarkStart w:id="1456" w:name="_Toc13585"/>
      <w:bookmarkStart w:id="1457" w:name="_Toc2630"/>
      <w:bookmarkStart w:id="1458" w:name="_Toc7232"/>
      <w:bookmarkStart w:id="1459" w:name="_Toc21874"/>
      <w:bookmarkStart w:id="1460" w:name="_Toc27265"/>
      <w:bookmarkStart w:id="1461" w:name="_Toc31246"/>
      <w:bookmarkStart w:id="1462" w:name="_Toc27571"/>
      <w:bookmarkStart w:id="1463" w:name="_Toc27245"/>
      <w:bookmarkStart w:id="1464" w:name="_Toc8602"/>
      <w:bookmarkStart w:id="1465" w:name="_Toc16091"/>
      <w:bookmarkStart w:id="1466" w:name="_Toc8096"/>
      <w:bookmarkStart w:id="1467" w:name="_Toc8"/>
      <w:bookmarkStart w:id="1468" w:name="_Toc7222"/>
      <w:bookmarkStart w:id="1469" w:name="_Toc19430"/>
      <w:bookmarkStart w:id="1470" w:name="_Toc30704"/>
      <w:bookmarkStart w:id="1471" w:name="_Toc28175"/>
      <w:bookmarkStart w:id="1472" w:name="_Toc12615"/>
      <w:bookmarkStart w:id="1473" w:name="_Toc26403"/>
      <w:bookmarkStart w:id="1474" w:name="_Toc14953"/>
      <w:bookmarkStart w:id="1475" w:name="_Toc15360"/>
      <w:bookmarkStart w:id="1476" w:name="_Toc1255"/>
      <w:r>
        <w:rPr>
          <w:rFonts w:hint="eastAsia"/>
          <w:color w:val="auto"/>
          <w:szCs w:val="21"/>
        </w:rPr>
        <w:t>应急资源管理</w:t>
      </w:r>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p>
    <w:p w14:paraId="19454B85">
      <w:pPr>
        <w:pStyle w:val="171"/>
        <w:ind w:left="10" w:hanging="10" w:hangingChars="5"/>
        <w:textAlignment w:val="center"/>
        <w:rPr>
          <w:rFonts w:hint="eastAsia"/>
          <w:color w:val="auto"/>
          <w:szCs w:val="21"/>
          <w:lang w:bidi="ar"/>
        </w:rPr>
      </w:pPr>
      <w:r>
        <w:rPr>
          <w:rFonts w:hint="eastAsia"/>
          <w:color w:val="auto"/>
          <w:szCs w:val="21"/>
          <w:lang w:bidi="ar"/>
        </w:rPr>
        <w:t>企业应根据GB 30077等规定配备用于处置危险化学品事故的车辆和各类侦检、个体防护、警戒、通信、输转堵漏、洗消、破拆、排烟照明、灭火、救生等物资及其他器材。</w:t>
      </w:r>
    </w:p>
    <w:p w14:paraId="08CEFFC7">
      <w:pPr>
        <w:pStyle w:val="171"/>
        <w:ind w:left="10" w:hanging="10" w:hangingChars="5"/>
        <w:textAlignment w:val="center"/>
        <w:rPr>
          <w:rFonts w:hint="eastAsia"/>
          <w:color w:val="auto"/>
          <w:szCs w:val="21"/>
          <w:lang w:bidi="ar"/>
        </w:rPr>
      </w:pPr>
      <w:r>
        <w:rPr>
          <w:rFonts w:hint="eastAsia"/>
          <w:color w:val="auto"/>
          <w:szCs w:val="21"/>
          <w:lang w:bidi="ar"/>
        </w:rPr>
        <w:t>企业除作业场所和应急救援队伍外的其他部门应根据应急职责配备应急资源。</w:t>
      </w:r>
    </w:p>
    <w:p w14:paraId="302D1E3C">
      <w:pPr>
        <w:pStyle w:val="171"/>
        <w:ind w:left="10" w:hanging="10" w:hangingChars="5"/>
        <w:textAlignment w:val="center"/>
        <w:rPr>
          <w:color w:val="auto"/>
          <w:szCs w:val="21"/>
          <w:lang w:bidi="ar"/>
        </w:rPr>
      </w:pPr>
      <w:r>
        <w:rPr>
          <w:rFonts w:hint="eastAsia"/>
          <w:color w:val="auto"/>
          <w:szCs w:val="21"/>
          <w:lang w:bidi="ar"/>
        </w:rPr>
        <w:t>企业应急设施、装备和物资应明确专人管理，严格按照要求进行检查和维护保养，保证正常运转。</w:t>
      </w:r>
    </w:p>
    <w:p w14:paraId="222B8703">
      <w:pPr>
        <w:pStyle w:val="79"/>
        <w:spacing w:before="160" w:after="160"/>
        <w:rPr>
          <w:color w:val="auto"/>
          <w:szCs w:val="21"/>
        </w:rPr>
      </w:pPr>
      <w:bookmarkStart w:id="1477" w:name="_Toc1654"/>
      <w:bookmarkStart w:id="1478" w:name="_Toc29083"/>
      <w:bookmarkStart w:id="1479" w:name="_Toc92"/>
      <w:bookmarkStart w:id="1480" w:name="_Toc28981"/>
      <w:bookmarkStart w:id="1481" w:name="_Toc26102"/>
      <w:bookmarkStart w:id="1482" w:name="_Toc11317"/>
      <w:bookmarkStart w:id="1483" w:name="_Toc10661"/>
      <w:bookmarkStart w:id="1484" w:name="_Toc30989"/>
      <w:bookmarkStart w:id="1485" w:name="_Toc25166"/>
      <w:bookmarkStart w:id="1486" w:name="_Toc12116"/>
      <w:bookmarkStart w:id="1487" w:name="_Toc635"/>
      <w:bookmarkStart w:id="1488" w:name="_Toc31154"/>
      <w:bookmarkStart w:id="1489" w:name="_Toc20469"/>
      <w:bookmarkStart w:id="1490" w:name="_Toc21862"/>
      <w:bookmarkStart w:id="1491" w:name="_Toc27905"/>
      <w:bookmarkStart w:id="1492" w:name="_Toc24753"/>
      <w:bookmarkStart w:id="1493" w:name="_Toc19871"/>
      <w:bookmarkStart w:id="1494" w:name="_Toc5656"/>
      <w:bookmarkStart w:id="1495" w:name="_Toc28439"/>
      <w:bookmarkStart w:id="1496" w:name="_Toc784"/>
      <w:bookmarkStart w:id="1497" w:name="_Toc26358"/>
      <w:bookmarkStart w:id="1498" w:name="_Toc20840"/>
      <w:r>
        <w:rPr>
          <w:rFonts w:hint="eastAsia"/>
          <w:color w:val="auto"/>
          <w:szCs w:val="21"/>
        </w:rPr>
        <w:t>应急演练与评估</w:t>
      </w:r>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p>
    <w:p w14:paraId="31A140F3">
      <w:pPr>
        <w:pStyle w:val="171"/>
        <w:ind w:left="10" w:hanging="10" w:hangingChars="5"/>
        <w:textAlignment w:val="center"/>
        <w:rPr>
          <w:rFonts w:hint="eastAsia"/>
          <w:color w:val="auto"/>
          <w:szCs w:val="21"/>
          <w:lang w:bidi="ar"/>
        </w:rPr>
      </w:pPr>
      <w:r>
        <w:rPr>
          <w:rFonts w:hint="eastAsia"/>
          <w:color w:val="auto"/>
          <w:szCs w:val="21"/>
          <w:lang w:bidi="ar"/>
        </w:rPr>
        <w:t>企业应按照岗位开展教育培训和业务训练，有关人员应掌握必要的专业知识、技能、身体素质和心理素质。</w:t>
      </w:r>
    </w:p>
    <w:p w14:paraId="7F6FEFB9">
      <w:pPr>
        <w:pStyle w:val="171"/>
        <w:ind w:left="10" w:hanging="10" w:hangingChars="5"/>
        <w:textAlignment w:val="center"/>
        <w:rPr>
          <w:color w:val="auto"/>
          <w:szCs w:val="21"/>
          <w:highlight w:val="none"/>
          <w:lang w:bidi="ar"/>
        </w:rPr>
      </w:pPr>
      <w:r>
        <w:rPr>
          <w:rFonts w:hint="eastAsia"/>
          <w:color w:val="auto"/>
          <w:szCs w:val="21"/>
          <w:highlight w:val="none"/>
          <w:lang w:bidi="ar"/>
        </w:rPr>
        <w:t>企业应</w:t>
      </w:r>
      <w:r>
        <w:rPr>
          <w:rFonts w:hint="default"/>
          <w:color w:val="auto"/>
          <w:szCs w:val="21"/>
          <w:highlight w:val="none"/>
          <w:lang w:bidi="ar"/>
        </w:rPr>
        <w:t>按标准规范要求</w:t>
      </w:r>
      <w:r>
        <w:rPr>
          <w:rFonts w:hint="eastAsia"/>
          <w:color w:val="auto"/>
          <w:szCs w:val="21"/>
          <w:highlight w:val="none"/>
          <w:lang w:bidi="ar"/>
        </w:rPr>
        <w:t>组织</w:t>
      </w:r>
      <w:r>
        <w:rPr>
          <w:rFonts w:hint="default"/>
          <w:color w:val="auto"/>
          <w:szCs w:val="21"/>
          <w:highlight w:val="none"/>
          <w:lang w:bidi="ar"/>
        </w:rPr>
        <w:t>开展</w:t>
      </w:r>
      <w:r>
        <w:rPr>
          <w:rFonts w:hint="eastAsia"/>
          <w:color w:val="auto"/>
          <w:szCs w:val="21"/>
          <w:highlight w:val="none"/>
          <w:lang w:bidi="ar"/>
        </w:rPr>
        <w:t>生产安全事故应急救援预案演练，并对演练效果进行评估。</w:t>
      </w:r>
    </w:p>
    <w:p w14:paraId="741E787B">
      <w:pPr>
        <w:pStyle w:val="79"/>
        <w:spacing w:before="160" w:after="160"/>
        <w:rPr>
          <w:color w:val="auto"/>
          <w:szCs w:val="21"/>
        </w:rPr>
      </w:pPr>
      <w:bookmarkStart w:id="1499" w:name="_Toc22883"/>
      <w:bookmarkStart w:id="1500" w:name="_Toc23632"/>
      <w:bookmarkStart w:id="1501" w:name="_Toc810"/>
      <w:bookmarkStart w:id="1502" w:name="_Toc28250"/>
      <w:bookmarkStart w:id="1503" w:name="_Toc30387"/>
      <w:bookmarkStart w:id="1504" w:name="_Toc6233"/>
      <w:bookmarkStart w:id="1505" w:name="_Toc27287"/>
      <w:bookmarkStart w:id="1506" w:name="_Toc3556"/>
      <w:bookmarkStart w:id="1507" w:name="_Toc22179"/>
      <w:bookmarkStart w:id="1508" w:name="_Toc5327"/>
      <w:bookmarkStart w:id="1509" w:name="_Toc24493"/>
      <w:bookmarkStart w:id="1510" w:name="_Toc15707"/>
      <w:bookmarkStart w:id="1511" w:name="_Toc18860"/>
      <w:bookmarkStart w:id="1512" w:name="_Toc9329"/>
      <w:bookmarkStart w:id="1513" w:name="_Toc11240"/>
      <w:bookmarkStart w:id="1514" w:name="_Toc12617"/>
      <w:bookmarkStart w:id="1515" w:name="_Toc22578"/>
      <w:bookmarkStart w:id="1516" w:name="_Toc26374"/>
      <w:bookmarkStart w:id="1517" w:name="_Toc7361"/>
      <w:bookmarkStart w:id="1518" w:name="_Toc16233"/>
      <w:bookmarkStart w:id="1519" w:name="_Toc21933"/>
      <w:bookmarkStart w:id="1520" w:name="_Toc21376"/>
      <w:r>
        <w:rPr>
          <w:rFonts w:hint="eastAsia"/>
          <w:color w:val="auto"/>
          <w:szCs w:val="21"/>
        </w:rPr>
        <w:t>应急</w:t>
      </w:r>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r>
        <w:rPr>
          <w:rFonts w:hint="eastAsia"/>
          <w:color w:val="auto"/>
          <w:szCs w:val="21"/>
          <w:lang w:val="en-US" w:eastAsia="zh-CN"/>
        </w:rPr>
        <w:t>救援</w:t>
      </w:r>
      <w:bookmarkEnd w:id="1518"/>
      <w:bookmarkEnd w:id="1519"/>
      <w:bookmarkEnd w:id="1520"/>
    </w:p>
    <w:p w14:paraId="54FF21F3">
      <w:pPr>
        <w:pStyle w:val="171"/>
        <w:ind w:left="10" w:hanging="10" w:hangingChars="5"/>
        <w:textAlignment w:val="center"/>
        <w:rPr>
          <w:rFonts w:hint="eastAsia"/>
          <w:color w:val="auto"/>
          <w:szCs w:val="21"/>
          <w:lang w:bidi="ar"/>
        </w:rPr>
      </w:pPr>
      <w:r>
        <w:rPr>
          <w:rFonts w:hint="eastAsia"/>
          <w:color w:val="auto"/>
          <w:szCs w:val="21"/>
          <w:lang w:bidi="ar"/>
        </w:rPr>
        <w:t>企业发生事故后应启动应急预案，采取控制危险源、抢救遇险人员等应急救援措施。</w:t>
      </w:r>
    </w:p>
    <w:p w14:paraId="60C441AB">
      <w:pPr>
        <w:pStyle w:val="171"/>
        <w:ind w:left="10" w:hanging="10" w:hangingChars="5"/>
        <w:textAlignment w:val="center"/>
        <w:rPr>
          <w:rFonts w:hint="eastAsia"/>
          <w:color w:val="auto"/>
          <w:szCs w:val="21"/>
          <w:lang w:bidi="ar"/>
        </w:rPr>
      </w:pPr>
      <w:r>
        <w:rPr>
          <w:rFonts w:hint="eastAsia"/>
          <w:color w:val="auto"/>
          <w:szCs w:val="21"/>
          <w:lang w:bidi="ar"/>
        </w:rPr>
        <w:t>应急救援队伍接到救援命令或请求后，应立即参加应急救援。</w:t>
      </w:r>
    </w:p>
    <w:p w14:paraId="59A327C4">
      <w:pPr>
        <w:pStyle w:val="171"/>
        <w:ind w:left="10" w:hanging="10" w:hangingChars="5"/>
        <w:textAlignment w:val="center"/>
        <w:rPr>
          <w:color w:val="auto"/>
          <w:szCs w:val="21"/>
          <w:lang w:bidi="ar"/>
        </w:rPr>
      </w:pPr>
      <w:r>
        <w:rPr>
          <w:rFonts w:hint="eastAsia"/>
          <w:color w:val="auto"/>
          <w:szCs w:val="21"/>
          <w:lang w:bidi="ar"/>
        </w:rPr>
        <w:t>应急救援结束后，</w:t>
      </w:r>
      <w:r>
        <w:rPr>
          <w:rFonts w:hint="eastAsia" w:ascii="宋体" w:hAnsi="宋体" w:eastAsia="宋体" w:cs="宋体"/>
          <w:color w:val="auto"/>
          <w:sz w:val="21"/>
          <w:szCs w:val="21"/>
          <w:lang w:val="en-US" w:eastAsia="zh-CN" w:bidi="ar"/>
        </w:rPr>
        <w:t>企业应组织人员对现场进行检查确认，消除现场存在的不安全因素</w:t>
      </w:r>
      <w:r>
        <w:rPr>
          <w:rFonts w:ascii="宋体" w:hAnsi="宋体" w:eastAsia="宋体" w:cs="宋体"/>
          <w:color w:val="auto"/>
          <w:sz w:val="21"/>
          <w:szCs w:val="21"/>
          <w:lang w:eastAsia="zh-CN"/>
        </w:rPr>
        <w:t xml:space="preserve"> </w:t>
      </w:r>
      <w:r>
        <w:rPr>
          <w:rFonts w:hint="eastAsia"/>
          <w:color w:val="auto"/>
          <w:szCs w:val="21"/>
          <w:lang w:bidi="ar"/>
        </w:rPr>
        <w:t>。</w:t>
      </w:r>
    </w:p>
    <w:p w14:paraId="4FF5207A">
      <w:pPr>
        <w:pStyle w:val="79"/>
        <w:spacing w:before="160" w:after="160"/>
        <w:rPr>
          <w:color w:val="auto"/>
          <w:szCs w:val="21"/>
        </w:rPr>
      </w:pPr>
      <w:bookmarkStart w:id="1521" w:name="_Toc23131"/>
      <w:bookmarkStart w:id="1522" w:name="_Toc26821"/>
      <w:bookmarkStart w:id="1523" w:name="_Toc30634"/>
      <w:bookmarkStart w:id="1524" w:name="_Toc12606"/>
      <w:bookmarkStart w:id="1525" w:name="_Toc24447"/>
      <w:bookmarkStart w:id="1526" w:name="_Toc21483"/>
      <w:bookmarkStart w:id="1527" w:name="_Toc23608"/>
      <w:bookmarkStart w:id="1528" w:name="_Toc3691"/>
      <w:bookmarkStart w:id="1529" w:name="_Toc31878"/>
      <w:bookmarkStart w:id="1530" w:name="_Toc1406"/>
      <w:bookmarkStart w:id="1531" w:name="_Toc3314"/>
      <w:bookmarkStart w:id="1532" w:name="_Toc27307"/>
      <w:bookmarkStart w:id="1533" w:name="_Toc20564"/>
      <w:bookmarkStart w:id="1534" w:name="_Toc31108"/>
      <w:bookmarkStart w:id="1535" w:name="_Toc16976"/>
      <w:bookmarkStart w:id="1536" w:name="_Toc4471"/>
      <w:bookmarkStart w:id="1537" w:name="_Toc8520"/>
      <w:bookmarkStart w:id="1538" w:name="_Toc18782"/>
      <w:bookmarkStart w:id="1539" w:name="_Toc13775"/>
      <w:bookmarkStart w:id="1540" w:name="_Toc26264"/>
      <w:bookmarkStart w:id="1541" w:name="_Toc31322"/>
      <w:bookmarkStart w:id="1542" w:name="_Toc32219"/>
      <w:r>
        <w:rPr>
          <w:rFonts w:hint="eastAsia"/>
          <w:color w:val="auto"/>
          <w:szCs w:val="21"/>
        </w:rPr>
        <w:t>应急救援评估</w:t>
      </w:r>
      <w:bookmarkEnd w:id="1521"/>
      <w:bookmarkEnd w:id="1522"/>
      <w:bookmarkEnd w:id="1523"/>
      <w:bookmarkEnd w:id="1524"/>
    </w:p>
    <w:p w14:paraId="60F1F311">
      <w:pPr>
        <w:pStyle w:val="171"/>
        <w:ind w:left="10" w:hanging="10" w:hangingChars="5"/>
        <w:textAlignment w:val="center"/>
        <w:rPr>
          <w:rFonts w:hint="eastAsia"/>
          <w:color w:val="auto"/>
          <w:szCs w:val="21"/>
          <w:lang w:bidi="ar"/>
        </w:rPr>
      </w:pPr>
      <w:r>
        <w:rPr>
          <w:rFonts w:hint="eastAsia" w:ascii="宋体" w:hAnsi="宋体" w:eastAsia="宋体" w:cs="宋体"/>
          <w:color w:val="auto"/>
          <w:sz w:val="21"/>
          <w:szCs w:val="21"/>
          <w:lang w:val="en-US" w:eastAsia="zh-CN" w:bidi="ar"/>
        </w:rPr>
        <w:t>应急救援终止后，企业应分析总结生产安全事故应急救援行动和应急处置措施中的成功经验和问题不足</w:t>
      </w:r>
      <w:r>
        <w:rPr>
          <w:rFonts w:hint="eastAsia"/>
          <w:color w:val="auto"/>
          <w:szCs w:val="21"/>
          <w:lang w:bidi="ar"/>
        </w:rPr>
        <w:t>。</w:t>
      </w:r>
    </w:p>
    <w:p w14:paraId="24710291">
      <w:pPr>
        <w:pStyle w:val="171"/>
        <w:ind w:left="10" w:hanging="10" w:hangingChars="5"/>
        <w:textAlignment w:val="center"/>
        <w:rPr>
          <w:color w:val="auto"/>
          <w:szCs w:val="21"/>
          <w:lang w:bidi="ar"/>
        </w:rPr>
      </w:pPr>
      <w:r>
        <w:rPr>
          <w:rFonts w:hint="eastAsia"/>
          <w:color w:val="auto"/>
          <w:szCs w:val="21"/>
          <w:lang w:bidi="ar"/>
        </w:rPr>
        <w:t>事故调查报告中应包含应急救援评估结论。</w:t>
      </w:r>
    </w:p>
    <w:p w14:paraId="510303F0">
      <w:pPr>
        <w:pStyle w:val="114"/>
        <w:spacing w:before="160" w:after="160"/>
        <w:rPr>
          <w:color w:val="auto"/>
          <w:szCs w:val="21"/>
        </w:rPr>
      </w:pPr>
      <w:bookmarkStart w:id="1543" w:name="_Toc17639"/>
      <w:bookmarkStart w:id="1544" w:name="_Toc11570"/>
      <w:bookmarkStart w:id="1545" w:name="_Toc3737"/>
      <w:bookmarkStart w:id="1546" w:name="_Toc257"/>
      <w:r>
        <w:rPr>
          <w:rFonts w:hint="eastAsia"/>
          <w:color w:val="auto"/>
          <w:szCs w:val="21"/>
          <w:highlight w:val="none"/>
        </w:rPr>
        <w:t>事故事件管理</w:t>
      </w:r>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p>
    <w:p w14:paraId="342B93E5">
      <w:pPr>
        <w:pStyle w:val="79"/>
        <w:spacing w:before="160" w:after="160"/>
        <w:rPr>
          <w:color w:val="auto"/>
          <w:szCs w:val="21"/>
        </w:rPr>
      </w:pPr>
      <w:bookmarkStart w:id="1547" w:name="_Toc24236"/>
      <w:bookmarkStart w:id="1548" w:name="_Toc14718"/>
      <w:bookmarkStart w:id="1549" w:name="_Toc2975"/>
      <w:bookmarkStart w:id="1550" w:name="_Toc8040"/>
      <w:bookmarkStart w:id="1551" w:name="_Toc5096"/>
      <w:bookmarkStart w:id="1552" w:name="_Toc19562"/>
      <w:bookmarkStart w:id="1553" w:name="_Toc17410"/>
      <w:bookmarkStart w:id="1554" w:name="_Toc15163"/>
      <w:bookmarkStart w:id="1555" w:name="_Toc7132"/>
      <w:bookmarkStart w:id="1556" w:name="_Toc7735"/>
      <w:bookmarkStart w:id="1557" w:name="_Toc11711"/>
      <w:bookmarkStart w:id="1558" w:name="_Toc22008"/>
      <w:bookmarkStart w:id="1559" w:name="_Toc463"/>
      <w:bookmarkStart w:id="1560" w:name="_Toc25898"/>
      <w:bookmarkStart w:id="1561" w:name="_Toc11952"/>
      <w:bookmarkStart w:id="1562" w:name="_Toc5793"/>
      <w:bookmarkStart w:id="1563" w:name="_Toc21144"/>
      <w:bookmarkStart w:id="1564" w:name="_Toc13684"/>
      <w:bookmarkStart w:id="1565" w:name="_Toc1819"/>
      <w:bookmarkStart w:id="1566" w:name="_Toc25970"/>
      <w:bookmarkStart w:id="1567" w:name="_Toc16860"/>
      <w:bookmarkStart w:id="1568" w:name="_Toc10614"/>
      <w:r>
        <w:rPr>
          <w:rFonts w:hint="eastAsia"/>
          <w:color w:val="auto"/>
          <w:szCs w:val="21"/>
        </w:rPr>
        <w:t>分类分级</w:t>
      </w:r>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p>
    <w:p w14:paraId="06F0CFEC">
      <w:pPr>
        <w:pStyle w:val="171"/>
        <w:ind w:left="10" w:hanging="10" w:hangingChars="5"/>
        <w:textAlignment w:val="center"/>
        <w:rPr>
          <w:color w:val="auto"/>
          <w:szCs w:val="21"/>
          <w:lang w:bidi="ar"/>
        </w:rPr>
      </w:pPr>
      <w:r>
        <w:rPr>
          <w:rFonts w:hint="eastAsia"/>
          <w:color w:val="auto"/>
          <w:szCs w:val="21"/>
          <w:lang w:bidi="ar"/>
        </w:rPr>
        <w:t>企业应明确不同类别事故事件的分级标准</w:t>
      </w:r>
      <w:r>
        <w:rPr>
          <w:rFonts w:hint="eastAsia"/>
          <w:color w:val="auto"/>
          <w:szCs w:val="21"/>
          <w:lang w:eastAsia="zh-CN" w:bidi="ar"/>
        </w:rPr>
        <w:t>、</w:t>
      </w:r>
      <w:r>
        <w:rPr>
          <w:rFonts w:hint="eastAsia"/>
          <w:color w:val="auto"/>
          <w:szCs w:val="21"/>
          <w:lang w:bidi="ar"/>
        </w:rPr>
        <w:t>管理程序</w:t>
      </w:r>
      <w:r>
        <w:rPr>
          <w:rFonts w:hint="eastAsia"/>
          <w:color w:val="auto"/>
          <w:szCs w:val="21"/>
          <w:lang w:eastAsia="zh-CN" w:bidi="ar"/>
        </w:rPr>
        <w:t>、</w:t>
      </w:r>
      <w:r>
        <w:rPr>
          <w:rFonts w:hint="eastAsia"/>
          <w:color w:val="auto"/>
          <w:szCs w:val="21"/>
          <w:lang w:val="en-US" w:eastAsia="zh-CN" w:bidi="ar"/>
        </w:rPr>
        <w:t>调查要求</w:t>
      </w:r>
      <w:r>
        <w:rPr>
          <w:rFonts w:hint="eastAsia"/>
          <w:color w:val="auto"/>
          <w:szCs w:val="21"/>
          <w:lang w:bidi="ar"/>
        </w:rPr>
        <w:t>，对企业发生的安全事件和政府委托企业调查的安全事故进行规范管理，并建立事故事件档案和管理台账。</w:t>
      </w:r>
    </w:p>
    <w:p w14:paraId="7EEF1A8C">
      <w:pPr>
        <w:pStyle w:val="171"/>
        <w:ind w:left="10" w:hanging="10" w:hangingChars="5"/>
        <w:textAlignment w:val="center"/>
        <w:rPr>
          <w:color w:val="auto"/>
          <w:szCs w:val="21"/>
          <w:lang w:bidi="ar"/>
        </w:rPr>
      </w:pPr>
      <w:r>
        <w:rPr>
          <w:rFonts w:hint="eastAsia"/>
          <w:color w:val="auto"/>
          <w:szCs w:val="21"/>
          <w:lang w:bidi="ar"/>
        </w:rPr>
        <w:t>企业应根据实际情况对事故事件进行分类，按专业可分为工艺、设备、电气、仪表等事故事件；按后果类型可分为泄漏、火灾、爆炸、中毒</w:t>
      </w:r>
      <w:r>
        <w:rPr>
          <w:rFonts w:hint="eastAsia"/>
          <w:color w:val="auto"/>
          <w:szCs w:val="21"/>
          <w:lang w:val="en-US" w:eastAsia="zh-CN" w:bidi="ar"/>
        </w:rPr>
        <w:t>窒息</w:t>
      </w:r>
      <w:r>
        <w:rPr>
          <w:rFonts w:hint="eastAsia"/>
          <w:color w:val="auto"/>
          <w:szCs w:val="21"/>
          <w:lang w:bidi="ar"/>
        </w:rPr>
        <w:t>等事故事件。</w:t>
      </w:r>
    </w:p>
    <w:p w14:paraId="708729F5">
      <w:pPr>
        <w:pStyle w:val="79"/>
        <w:spacing w:before="160" w:after="160"/>
        <w:rPr>
          <w:rFonts w:hint="eastAsia"/>
          <w:color w:val="auto"/>
          <w:szCs w:val="21"/>
          <w:lang w:bidi="ar"/>
        </w:rPr>
      </w:pPr>
      <w:bookmarkStart w:id="1569" w:name="_Toc24430"/>
      <w:bookmarkStart w:id="1570" w:name="_Toc6687"/>
      <w:bookmarkStart w:id="1571" w:name="_Toc9908"/>
      <w:bookmarkStart w:id="1572" w:name="_Toc28585"/>
      <w:bookmarkStart w:id="1573" w:name="_Toc19768"/>
      <w:bookmarkStart w:id="1574" w:name="_Toc10287"/>
      <w:bookmarkStart w:id="1575" w:name="_Toc12271"/>
      <w:bookmarkStart w:id="1576" w:name="_Toc20438"/>
      <w:bookmarkStart w:id="1577" w:name="_Toc6986"/>
      <w:bookmarkStart w:id="1578" w:name="_Toc5063"/>
      <w:bookmarkStart w:id="1579" w:name="_Toc18961"/>
      <w:bookmarkStart w:id="1580" w:name="_Toc12734"/>
      <w:bookmarkStart w:id="1581" w:name="_Toc11368"/>
      <w:bookmarkStart w:id="1582" w:name="_Toc9950"/>
      <w:bookmarkStart w:id="1583" w:name="_Toc14346"/>
      <w:bookmarkStart w:id="1584" w:name="_Toc8418"/>
      <w:bookmarkStart w:id="1585" w:name="_Toc5765"/>
      <w:bookmarkStart w:id="1586" w:name="_Toc2989"/>
      <w:bookmarkStart w:id="1587" w:name="_Toc12739"/>
      <w:bookmarkStart w:id="1588" w:name="_Toc28787"/>
      <w:bookmarkStart w:id="1589" w:name="_Toc17311"/>
      <w:bookmarkStart w:id="1590" w:name="_Toc18398"/>
      <w:r>
        <w:rPr>
          <w:rFonts w:hint="eastAsia"/>
          <w:color w:val="auto"/>
          <w:szCs w:val="21"/>
        </w:rPr>
        <w:t>上报</w:t>
      </w:r>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p>
    <w:p w14:paraId="69F43537">
      <w:pPr>
        <w:pStyle w:val="171"/>
        <w:ind w:left="10" w:hanging="10" w:hangingChars="5"/>
        <w:textAlignment w:val="center"/>
        <w:rPr>
          <w:color w:val="auto"/>
          <w:szCs w:val="21"/>
          <w:lang w:bidi="ar"/>
        </w:rPr>
      </w:pPr>
      <w:r>
        <w:rPr>
          <w:rFonts w:hint="eastAsia"/>
          <w:color w:val="auto"/>
          <w:szCs w:val="21"/>
          <w:lang w:bidi="ar"/>
        </w:rPr>
        <w:t>企业应按国家有关规定</w:t>
      </w:r>
      <w:r>
        <w:rPr>
          <w:rFonts w:hint="default"/>
          <w:color w:val="auto"/>
          <w:szCs w:val="21"/>
          <w:lang w:bidi="ar"/>
        </w:rPr>
        <w:t>，</w:t>
      </w:r>
      <w:r>
        <w:rPr>
          <w:rFonts w:hint="eastAsia"/>
          <w:color w:val="auto"/>
          <w:szCs w:val="21"/>
          <w:lang w:bidi="ar"/>
        </w:rPr>
        <w:t>及时</w:t>
      </w:r>
      <w:r>
        <w:rPr>
          <w:rFonts w:hint="default"/>
          <w:color w:val="auto"/>
          <w:szCs w:val="21"/>
          <w:lang w:bidi="ar"/>
        </w:rPr>
        <w:t>向</w:t>
      </w:r>
      <w:r>
        <w:rPr>
          <w:rFonts w:hint="eastAsia"/>
          <w:color w:val="auto"/>
          <w:szCs w:val="21"/>
          <w:lang w:bidi="ar"/>
        </w:rPr>
        <w:t>政府主管部门</w:t>
      </w:r>
      <w:r>
        <w:rPr>
          <w:rFonts w:hint="default"/>
          <w:color w:val="auto"/>
          <w:szCs w:val="21"/>
          <w:lang w:bidi="ar"/>
        </w:rPr>
        <w:t>上报</w:t>
      </w:r>
      <w:r>
        <w:rPr>
          <w:rFonts w:hint="eastAsia"/>
          <w:color w:val="auto"/>
          <w:szCs w:val="21"/>
          <w:lang w:bidi="ar"/>
        </w:rPr>
        <w:t>生产安全事故，出现新情况时，应及时补报，不应迟报、谎报和瞒报。</w:t>
      </w:r>
    </w:p>
    <w:p w14:paraId="23E5049F">
      <w:pPr>
        <w:pStyle w:val="171"/>
        <w:ind w:left="10" w:hanging="10" w:hangingChars="5"/>
        <w:textAlignment w:val="center"/>
        <w:rPr>
          <w:color w:val="auto"/>
          <w:szCs w:val="21"/>
          <w:lang w:bidi="ar"/>
        </w:rPr>
      </w:pPr>
      <w:r>
        <w:rPr>
          <w:rFonts w:hint="eastAsia"/>
          <w:color w:val="auto"/>
          <w:szCs w:val="21"/>
          <w:lang w:bidi="ar"/>
        </w:rPr>
        <w:t>企业应建立激励约束机制，鼓励员工与相关方发现安全事件</w:t>
      </w:r>
      <w:r>
        <w:rPr>
          <w:rFonts w:hint="eastAsia"/>
          <w:color w:val="auto"/>
          <w:szCs w:val="21"/>
          <w:highlight w:val="none"/>
          <w:lang w:bidi="ar"/>
        </w:rPr>
        <w:t>应</w:t>
      </w:r>
      <w:r>
        <w:rPr>
          <w:rFonts w:hint="eastAsia"/>
          <w:color w:val="auto"/>
          <w:szCs w:val="21"/>
          <w:highlight w:val="none"/>
          <w:lang w:val="en-US" w:eastAsia="zh-CN" w:bidi="ar"/>
        </w:rPr>
        <w:t>按程序</w:t>
      </w:r>
      <w:r>
        <w:rPr>
          <w:rFonts w:hint="eastAsia"/>
          <w:color w:val="auto"/>
          <w:szCs w:val="21"/>
          <w:lang w:bidi="ar"/>
        </w:rPr>
        <w:t>及时上报，避免漏报。</w:t>
      </w:r>
    </w:p>
    <w:p w14:paraId="6F6BCFA9">
      <w:pPr>
        <w:pStyle w:val="79"/>
        <w:spacing w:before="160" w:after="160"/>
        <w:rPr>
          <w:color w:val="auto"/>
          <w:szCs w:val="21"/>
        </w:rPr>
      </w:pPr>
      <w:bookmarkStart w:id="1591" w:name="_Toc10724"/>
      <w:bookmarkStart w:id="1592" w:name="_Toc27156"/>
      <w:bookmarkStart w:id="1593" w:name="_Toc5510"/>
      <w:bookmarkStart w:id="1594" w:name="_Toc25182"/>
      <w:bookmarkStart w:id="1595" w:name="_Toc21520"/>
      <w:bookmarkStart w:id="1596" w:name="_Toc10248"/>
      <w:bookmarkStart w:id="1597" w:name="_Toc10961"/>
      <w:bookmarkStart w:id="1598" w:name="_Toc15789"/>
      <w:bookmarkStart w:id="1599" w:name="_Toc29075"/>
      <w:bookmarkStart w:id="1600" w:name="_Toc12884"/>
      <w:bookmarkStart w:id="1601" w:name="_Toc17225"/>
      <w:bookmarkStart w:id="1602" w:name="_Toc32624"/>
      <w:bookmarkStart w:id="1603" w:name="_Toc19277"/>
      <w:bookmarkStart w:id="1604" w:name="_Toc16551"/>
      <w:bookmarkStart w:id="1605" w:name="_Toc18643"/>
      <w:bookmarkStart w:id="1606" w:name="_Toc3380"/>
      <w:bookmarkStart w:id="1607" w:name="_Toc25420"/>
      <w:bookmarkStart w:id="1608" w:name="_Toc2807"/>
      <w:bookmarkStart w:id="1609" w:name="_Toc2457"/>
      <w:bookmarkStart w:id="1610" w:name="_Toc9505"/>
      <w:bookmarkStart w:id="1611" w:name="_Toc4060"/>
      <w:bookmarkStart w:id="1612" w:name="_Toc3376"/>
      <w:r>
        <w:rPr>
          <w:rFonts w:hint="eastAsia"/>
          <w:color w:val="auto"/>
          <w:szCs w:val="21"/>
        </w:rPr>
        <w:t>调查与处理</w:t>
      </w:r>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p>
    <w:p w14:paraId="3C299965">
      <w:pPr>
        <w:pStyle w:val="171"/>
        <w:ind w:left="10" w:hanging="10" w:hangingChars="5"/>
        <w:textAlignment w:val="center"/>
        <w:rPr>
          <w:color w:val="auto"/>
          <w:szCs w:val="21"/>
          <w:lang w:bidi="ar"/>
        </w:rPr>
      </w:pPr>
      <w:r>
        <w:rPr>
          <w:rFonts w:hint="eastAsia"/>
          <w:color w:val="auto"/>
          <w:szCs w:val="21"/>
          <w:lang w:bidi="ar"/>
        </w:rPr>
        <w:t>企业发生生产安全事故后，应积极配合各级人民政府组织的事故调查，负责人和有关人员在事故调查期间不得擅离职守，应当随时接受事故调查组的询问，如实提供有关情况。</w:t>
      </w:r>
    </w:p>
    <w:p w14:paraId="7CEA5E7A">
      <w:pPr>
        <w:pStyle w:val="171"/>
        <w:ind w:left="10" w:hanging="10" w:hangingChars="5"/>
        <w:textAlignment w:val="center"/>
        <w:rPr>
          <w:rFonts w:hint="eastAsia"/>
          <w:color w:val="auto"/>
          <w:szCs w:val="21"/>
          <w:lang w:bidi="ar"/>
        </w:rPr>
      </w:pPr>
      <w:r>
        <w:rPr>
          <w:rFonts w:hint="eastAsia"/>
          <w:color w:val="auto"/>
          <w:szCs w:val="21"/>
          <w:lang w:bidi="ar"/>
        </w:rPr>
        <w:t>企业应按照事故原因未查清不放过、责任人员未处理不放过、整改措施未落实不放过、有关人员未受到教育不放过“</w:t>
      </w:r>
      <w:bookmarkStart w:id="1613" w:name="OLE_LINK12"/>
      <w:r>
        <w:rPr>
          <w:rFonts w:hint="eastAsia"/>
          <w:color w:val="auto"/>
          <w:szCs w:val="21"/>
          <w:lang w:bidi="ar"/>
        </w:rPr>
        <w:t>四不放过</w:t>
      </w:r>
      <w:bookmarkEnd w:id="1613"/>
      <w:r>
        <w:rPr>
          <w:rFonts w:hint="eastAsia"/>
          <w:color w:val="auto"/>
          <w:szCs w:val="21"/>
          <w:lang w:bidi="ar"/>
        </w:rPr>
        <w:t>”的原则对</w:t>
      </w:r>
      <w:r>
        <w:rPr>
          <w:rFonts w:hint="eastAsia"/>
          <w:color w:val="auto"/>
          <w:szCs w:val="21"/>
          <w:highlight w:val="none"/>
          <w:lang w:bidi="ar"/>
        </w:rPr>
        <w:t>事故进行调查处理。</w:t>
      </w:r>
    </w:p>
    <w:p w14:paraId="5033F8A1">
      <w:pPr>
        <w:pStyle w:val="171"/>
        <w:ind w:left="10" w:hanging="10" w:hangingChars="5"/>
        <w:textAlignment w:val="center"/>
        <w:rPr>
          <w:color w:val="auto"/>
          <w:szCs w:val="21"/>
          <w:lang w:bidi="ar"/>
        </w:rPr>
      </w:pPr>
      <w:r>
        <w:rPr>
          <w:rFonts w:hint="eastAsia"/>
          <w:color w:val="auto"/>
          <w:szCs w:val="21"/>
          <w:lang w:bidi="ar"/>
        </w:rPr>
        <w:t>企业应组织具备相关专业知识的人员和有调查及分析事件经验的人员开展事件调查，查明事故原因，提出防范</w:t>
      </w:r>
      <w:r>
        <w:rPr>
          <w:rFonts w:hint="eastAsia"/>
          <w:color w:val="auto"/>
          <w:szCs w:val="21"/>
          <w:lang w:val="en-US" w:eastAsia="zh-CN" w:bidi="ar"/>
        </w:rPr>
        <w:t>事件再次发生</w:t>
      </w:r>
      <w:r>
        <w:rPr>
          <w:rFonts w:hint="eastAsia"/>
          <w:color w:val="auto"/>
          <w:szCs w:val="21"/>
          <w:lang w:bidi="ar"/>
        </w:rPr>
        <w:t>的技术措施和管理措施，形成报告。</w:t>
      </w:r>
    </w:p>
    <w:p w14:paraId="7D7D66DD">
      <w:pPr>
        <w:pStyle w:val="79"/>
        <w:spacing w:before="160" w:after="160"/>
        <w:rPr>
          <w:color w:val="auto"/>
          <w:szCs w:val="21"/>
          <w:highlight w:val="none"/>
        </w:rPr>
      </w:pPr>
      <w:bookmarkStart w:id="1614" w:name="_Toc23590"/>
      <w:bookmarkStart w:id="1615" w:name="_Toc25337"/>
      <w:bookmarkStart w:id="1616" w:name="_Toc26972"/>
      <w:bookmarkStart w:id="1617" w:name="_Toc268"/>
      <w:bookmarkStart w:id="1618" w:name="_Toc21694"/>
      <w:bookmarkStart w:id="1619" w:name="_Toc32670"/>
      <w:bookmarkStart w:id="1620" w:name="_Toc7273"/>
      <w:bookmarkStart w:id="1621" w:name="_Toc17960"/>
      <w:bookmarkStart w:id="1622" w:name="_Toc26282"/>
      <w:bookmarkStart w:id="1623" w:name="_Toc17263"/>
      <w:bookmarkStart w:id="1624" w:name="_Toc22496"/>
      <w:bookmarkStart w:id="1625" w:name="_Toc2078"/>
      <w:bookmarkStart w:id="1626" w:name="_Toc20505"/>
      <w:bookmarkStart w:id="1627" w:name="_Toc29594"/>
      <w:bookmarkStart w:id="1628" w:name="_Toc18720"/>
      <w:bookmarkStart w:id="1629" w:name="_Toc11805"/>
      <w:bookmarkStart w:id="1630" w:name="_Toc991"/>
      <w:bookmarkStart w:id="1631" w:name="_Toc18874"/>
      <w:bookmarkStart w:id="1632" w:name="_Toc19693"/>
      <w:bookmarkStart w:id="1633" w:name="_Toc10883"/>
      <w:bookmarkStart w:id="1634" w:name="_Toc461"/>
      <w:bookmarkStart w:id="1635" w:name="_Toc24561"/>
      <w:r>
        <w:rPr>
          <w:rFonts w:hint="eastAsia"/>
          <w:color w:val="auto"/>
          <w:szCs w:val="21"/>
          <w:highlight w:val="none"/>
        </w:rPr>
        <w:t>整改与教训吸取</w:t>
      </w:r>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p>
    <w:p w14:paraId="3C36254E">
      <w:pPr>
        <w:pStyle w:val="171"/>
        <w:ind w:left="10" w:hanging="10" w:hangingChars="5"/>
        <w:textAlignment w:val="center"/>
        <w:rPr>
          <w:rFonts w:hint="eastAsia"/>
          <w:color w:val="auto"/>
          <w:szCs w:val="21"/>
          <w:lang w:bidi="ar"/>
        </w:rPr>
      </w:pPr>
      <w:r>
        <w:rPr>
          <w:rFonts w:hint="eastAsia"/>
          <w:color w:val="auto"/>
          <w:szCs w:val="21"/>
          <w:lang w:bidi="ar"/>
        </w:rPr>
        <w:t>企业应明确落实事故</w:t>
      </w:r>
      <w:r>
        <w:rPr>
          <w:rFonts w:hint="default"/>
          <w:color w:val="auto"/>
          <w:szCs w:val="21"/>
          <w:lang w:bidi="ar"/>
        </w:rPr>
        <w:t>、</w:t>
      </w:r>
      <w:r>
        <w:rPr>
          <w:rFonts w:hint="eastAsia"/>
          <w:color w:val="auto"/>
          <w:szCs w:val="21"/>
          <w:lang w:bidi="ar"/>
        </w:rPr>
        <w:t>事件防范措施的责任人、完成时限， 并跟踪整改效果，防止事故</w:t>
      </w:r>
      <w:r>
        <w:rPr>
          <w:rFonts w:hint="default"/>
          <w:color w:val="auto"/>
          <w:szCs w:val="21"/>
          <w:lang w:bidi="ar"/>
        </w:rPr>
        <w:t>、</w:t>
      </w:r>
      <w:r>
        <w:rPr>
          <w:rFonts w:hint="eastAsia"/>
          <w:color w:val="auto"/>
          <w:szCs w:val="21"/>
          <w:lang w:bidi="ar"/>
        </w:rPr>
        <w:t>事件再次发生。</w:t>
      </w:r>
    </w:p>
    <w:p w14:paraId="762AE440">
      <w:pPr>
        <w:pStyle w:val="171"/>
        <w:ind w:left="10" w:hanging="10" w:hangingChars="5"/>
        <w:textAlignment w:val="center"/>
        <w:rPr>
          <w:color w:val="auto"/>
          <w:szCs w:val="21"/>
          <w:lang w:bidi="ar"/>
        </w:rPr>
      </w:pPr>
      <w:r>
        <w:rPr>
          <w:rFonts w:hint="eastAsia"/>
          <w:color w:val="auto"/>
          <w:szCs w:val="21"/>
          <w:lang w:bidi="ar"/>
        </w:rPr>
        <w:t>企业应及时公布事故</w:t>
      </w:r>
      <w:r>
        <w:rPr>
          <w:rFonts w:hint="default"/>
          <w:color w:val="auto"/>
          <w:szCs w:val="21"/>
          <w:lang w:bidi="ar"/>
        </w:rPr>
        <w:t>、</w:t>
      </w:r>
      <w:r>
        <w:rPr>
          <w:rFonts w:hint="eastAsia"/>
          <w:color w:val="auto"/>
          <w:szCs w:val="21"/>
          <w:lang w:bidi="ar"/>
        </w:rPr>
        <w:t>事件调查结果，组织内部相关单位和人员进行分析、交流和培训，认真吸取教训。‌</w:t>
      </w:r>
    </w:p>
    <w:p w14:paraId="15F7DD13">
      <w:pPr>
        <w:pStyle w:val="171"/>
        <w:ind w:left="10" w:hanging="10" w:hangingChars="5"/>
        <w:textAlignment w:val="center"/>
        <w:rPr>
          <w:color w:val="auto"/>
          <w:szCs w:val="21"/>
          <w:lang w:bidi="ar"/>
        </w:rPr>
      </w:pPr>
      <w:r>
        <w:rPr>
          <w:rFonts w:hint="eastAsia"/>
          <w:color w:val="auto"/>
          <w:szCs w:val="21"/>
          <w:lang w:bidi="ar"/>
        </w:rPr>
        <w:t>企业应重视外部事故信息的收集，认真吸取同行业、同类企业、同类装置的事故教训，</w:t>
      </w:r>
      <w:r>
        <w:rPr>
          <w:rFonts w:hint="eastAsia" w:ascii="宋体" w:hAnsi="宋体" w:eastAsia="宋体" w:cs="宋体"/>
          <w:color w:val="auto"/>
          <w:sz w:val="21"/>
          <w:szCs w:val="21"/>
          <w:lang w:val="en-US" w:eastAsia="zh-CN" w:bidi="ar"/>
        </w:rPr>
        <w:t>防范发生同类事故事件</w:t>
      </w:r>
      <w:r>
        <w:rPr>
          <w:rFonts w:ascii="宋体" w:hAnsi="宋体" w:eastAsia="宋体" w:cs="宋体"/>
          <w:color w:val="auto"/>
          <w:sz w:val="21"/>
          <w:szCs w:val="21"/>
          <w:lang w:eastAsia="zh-CN"/>
        </w:rPr>
        <w:t xml:space="preserve"> </w:t>
      </w:r>
      <w:r>
        <w:rPr>
          <w:rFonts w:hint="eastAsia"/>
          <w:color w:val="auto"/>
          <w:szCs w:val="21"/>
          <w:lang w:bidi="ar"/>
        </w:rPr>
        <w:t>。</w:t>
      </w:r>
    </w:p>
    <w:p w14:paraId="0D98411B">
      <w:pPr>
        <w:pStyle w:val="171"/>
        <w:ind w:left="10" w:hanging="11" w:hangingChars="5"/>
        <w:textAlignment w:val="center"/>
        <w:rPr>
          <w:color w:val="auto"/>
          <w:szCs w:val="21"/>
          <w:lang w:bidi="ar"/>
        </w:rPr>
      </w:pPr>
      <w:r>
        <w:rPr>
          <w:rFonts w:hint="eastAsia" w:ascii="宋体" w:hAnsi="宋体" w:eastAsia="宋体" w:cs="宋体"/>
          <w:color w:val="auto"/>
          <w:sz w:val="22"/>
          <w:szCs w:val="22"/>
          <w:lang w:val="en-US" w:eastAsia="zh-CN" w:bidi="ar"/>
        </w:rPr>
        <w:t>企业</w:t>
      </w:r>
      <w:r>
        <w:rPr>
          <w:rFonts w:hint="eastAsia" w:ascii="宋体" w:hAnsi="宋体" w:eastAsia="宋体" w:cs="宋体"/>
          <w:color w:val="auto"/>
          <w:sz w:val="21"/>
          <w:szCs w:val="21"/>
          <w:lang w:val="en-US" w:eastAsia="zh-CN" w:bidi="ar"/>
        </w:rPr>
        <w:t>应定期对内部发生的事故</w:t>
      </w:r>
      <w:r>
        <w:rPr>
          <w:rFonts w:hint="default" w:hAnsi="宋体" w:cs="宋体"/>
          <w:color w:val="auto"/>
          <w:sz w:val="21"/>
          <w:szCs w:val="21"/>
          <w:lang w:eastAsia="zh-CN" w:bidi="ar"/>
        </w:rPr>
        <w:t>、</w:t>
      </w:r>
      <w:r>
        <w:rPr>
          <w:rFonts w:hint="default" w:ascii="宋体" w:hAnsi="宋体" w:eastAsia="宋体" w:cs="宋体"/>
          <w:color w:val="auto"/>
          <w:sz w:val="21"/>
          <w:szCs w:val="21"/>
          <w:lang w:eastAsia="zh-CN" w:bidi="ar"/>
        </w:rPr>
        <w:t>事件</w:t>
      </w:r>
      <w:r>
        <w:rPr>
          <w:rFonts w:hint="eastAsia" w:ascii="宋体" w:hAnsi="宋体" w:eastAsia="宋体" w:cs="宋体"/>
          <w:color w:val="auto"/>
          <w:sz w:val="21"/>
          <w:szCs w:val="21"/>
          <w:lang w:val="en-US" w:eastAsia="zh-CN" w:bidi="ar"/>
        </w:rPr>
        <w:t>进行统计分析，</w:t>
      </w:r>
      <w:r>
        <w:rPr>
          <w:rFonts w:hint="default" w:hAnsi="宋体" w:cs="宋体"/>
          <w:color w:val="auto"/>
          <w:sz w:val="21"/>
          <w:szCs w:val="21"/>
          <w:lang w:eastAsia="zh-CN" w:bidi="ar"/>
        </w:rPr>
        <w:t>分析研究</w:t>
      </w:r>
      <w:r>
        <w:rPr>
          <w:rFonts w:hint="eastAsia" w:ascii="宋体" w:hAnsi="宋体" w:eastAsia="宋体" w:cs="宋体"/>
          <w:color w:val="auto"/>
          <w:sz w:val="21"/>
          <w:szCs w:val="21"/>
          <w:lang w:val="en-US" w:eastAsia="zh-CN" w:bidi="ar"/>
        </w:rPr>
        <w:t>找出发生的规律，制定防范措施并落实</w:t>
      </w:r>
      <w:r>
        <w:rPr>
          <w:rFonts w:hint="eastAsia" w:ascii="宋体" w:hAnsi="宋体" w:eastAsia="宋体" w:cs="宋体"/>
          <w:color w:val="auto"/>
          <w:sz w:val="22"/>
          <w:szCs w:val="22"/>
          <w:lang w:val="en-US" w:eastAsia="zh-CN" w:bidi="ar"/>
        </w:rPr>
        <w:t>。</w:t>
      </w:r>
    </w:p>
    <w:p w14:paraId="12D134DE">
      <w:pPr>
        <w:pStyle w:val="114"/>
        <w:spacing w:before="160" w:after="160"/>
        <w:rPr>
          <w:rFonts w:hint="eastAsia" w:hAnsi="Times New Roman" w:cs="Times New Roman"/>
          <w:color w:val="auto"/>
          <w:szCs w:val="21"/>
        </w:rPr>
      </w:pPr>
      <w:bookmarkStart w:id="1636" w:name="_Toc25336"/>
      <w:bookmarkStart w:id="1637" w:name="_Toc18993"/>
      <w:bookmarkStart w:id="1638" w:name="_Toc19145"/>
      <w:bookmarkStart w:id="1639" w:name="_Toc2668"/>
      <w:bookmarkStart w:id="1640" w:name="_Toc22954"/>
      <w:bookmarkStart w:id="1641" w:name="_Toc13600"/>
      <w:bookmarkStart w:id="1642" w:name="_Toc5821"/>
      <w:bookmarkStart w:id="1643" w:name="_Toc25623"/>
      <w:bookmarkStart w:id="1644" w:name="_Toc29993"/>
      <w:bookmarkStart w:id="1645" w:name="_Toc3669"/>
      <w:bookmarkStart w:id="1646" w:name="_Toc32679"/>
      <w:bookmarkStart w:id="1647" w:name="_Toc5474"/>
      <w:bookmarkStart w:id="1648" w:name="_Toc2733"/>
      <w:bookmarkStart w:id="1649" w:name="_Toc24247"/>
      <w:bookmarkStart w:id="1650" w:name="_Toc4781"/>
      <w:bookmarkStart w:id="1651" w:name="_Toc14887"/>
      <w:bookmarkStart w:id="1652" w:name="_Toc20258"/>
      <w:bookmarkStart w:id="1653" w:name="_Toc28266"/>
      <w:bookmarkStart w:id="1654" w:name="_Toc15287"/>
      <w:bookmarkStart w:id="1655" w:name="_Toc17998"/>
      <w:bookmarkStart w:id="1656" w:name="_Toc21806"/>
      <w:r>
        <w:rPr>
          <w:rFonts w:hint="eastAsia" w:hAnsi="Times New Roman" w:cs="Times New Roman"/>
          <w:color w:val="auto"/>
          <w:szCs w:val="21"/>
          <w:lang w:val="en-US" w:eastAsia="zh-CN"/>
        </w:rPr>
        <w:t>绩效评估</w:t>
      </w:r>
      <w:bookmarkEnd w:id="1636"/>
    </w:p>
    <w:p w14:paraId="26C759D9">
      <w:pPr>
        <w:pStyle w:val="79"/>
        <w:spacing w:before="160" w:after="160"/>
        <w:rPr>
          <w:color w:val="auto"/>
          <w:szCs w:val="21"/>
        </w:rPr>
      </w:pPr>
      <w:bookmarkStart w:id="1657" w:name="_Toc681"/>
      <w:r>
        <w:rPr>
          <w:rFonts w:hint="eastAsia"/>
          <w:color w:val="auto"/>
          <w:szCs w:val="21"/>
        </w:rPr>
        <w:t>要素绩效指标</w:t>
      </w:r>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p>
    <w:p w14:paraId="27C2B5DB">
      <w:pPr>
        <w:pStyle w:val="171"/>
        <w:ind w:left="10" w:hanging="10" w:hangingChars="5"/>
        <w:textAlignment w:val="center"/>
        <w:rPr>
          <w:rFonts w:hint="eastAsia"/>
          <w:color w:val="auto"/>
          <w:szCs w:val="21"/>
          <w:lang w:bidi="ar"/>
        </w:rPr>
      </w:pPr>
      <w:r>
        <w:rPr>
          <w:rFonts w:hint="eastAsia"/>
          <w:color w:val="auto"/>
          <w:szCs w:val="21"/>
          <w:lang w:bidi="ar"/>
        </w:rPr>
        <w:t>企业应制定衡量安全生产标准化各要素的绩效指标，</w:t>
      </w:r>
      <w:r>
        <w:rPr>
          <w:rFonts w:hint="eastAsia"/>
          <w:color w:val="auto"/>
          <w:szCs w:val="21"/>
          <w:lang w:val="en-US" w:eastAsia="zh-CN" w:bidi="ar"/>
        </w:rPr>
        <w:t>验证各要素运行绩效。</w:t>
      </w:r>
    </w:p>
    <w:p w14:paraId="21B902E7">
      <w:pPr>
        <w:pStyle w:val="171"/>
        <w:ind w:left="10" w:hanging="10" w:hangingChars="5"/>
        <w:textAlignment w:val="center"/>
        <w:rPr>
          <w:rFonts w:hint="eastAsia"/>
          <w:color w:val="auto"/>
          <w:szCs w:val="21"/>
          <w:lang w:bidi="ar"/>
        </w:rPr>
      </w:pPr>
      <w:r>
        <w:rPr>
          <w:rFonts w:hint="eastAsia"/>
          <w:color w:val="auto"/>
          <w:szCs w:val="21"/>
          <w:lang w:val="en-US" w:eastAsia="zh-CN" w:bidi="ar"/>
        </w:rPr>
        <w:t>安全标准化</w:t>
      </w:r>
      <w:r>
        <w:rPr>
          <w:rFonts w:hint="eastAsia"/>
          <w:color w:val="auto"/>
          <w:szCs w:val="21"/>
          <w:lang w:bidi="ar"/>
        </w:rPr>
        <w:t>绩效指标</w:t>
      </w:r>
      <w:r>
        <w:rPr>
          <w:rFonts w:hint="eastAsia"/>
          <w:color w:val="auto"/>
          <w:szCs w:val="21"/>
          <w:lang w:val="en-US" w:eastAsia="zh-CN" w:bidi="ar"/>
        </w:rPr>
        <w:t>分为</w:t>
      </w:r>
      <w:r>
        <w:rPr>
          <w:rFonts w:hint="eastAsia"/>
          <w:color w:val="auto"/>
          <w:szCs w:val="21"/>
          <w:lang w:bidi="ar"/>
        </w:rPr>
        <w:t>过程性指标和结果性指标</w:t>
      </w:r>
      <w:r>
        <w:rPr>
          <w:rFonts w:hint="eastAsia"/>
          <w:color w:val="auto"/>
          <w:szCs w:val="21"/>
          <w:lang w:eastAsia="zh-CN" w:bidi="ar"/>
        </w:rPr>
        <w:t>。</w:t>
      </w:r>
      <w:r>
        <w:rPr>
          <w:rFonts w:hint="eastAsia"/>
          <w:color w:val="auto"/>
          <w:szCs w:val="21"/>
          <w:lang w:bidi="ar"/>
        </w:rPr>
        <w:t>过程性指标包括培训完成率、隐患排查</w:t>
      </w:r>
      <w:r>
        <w:rPr>
          <w:rFonts w:hint="eastAsia"/>
          <w:color w:val="auto"/>
          <w:szCs w:val="21"/>
          <w:lang w:val="en-US" w:eastAsia="zh-CN" w:bidi="ar"/>
        </w:rPr>
        <w:t>任务</w:t>
      </w:r>
      <w:r>
        <w:rPr>
          <w:rFonts w:hint="eastAsia"/>
          <w:color w:val="auto"/>
          <w:szCs w:val="21"/>
          <w:lang w:bidi="ar"/>
        </w:rPr>
        <w:t>完成率、</w:t>
      </w:r>
      <w:r>
        <w:rPr>
          <w:rFonts w:hint="eastAsia"/>
          <w:color w:val="auto"/>
          <w:szCs w:val="21"/>
          <w:lang w:val="en-US" w:eastAsia="zh-CN" w:bidi="ar"/>
        </w:rPr>
        <w:t>隐患整改完成率、</w:t>
      </w:r>
      <w:r>
        <w:rPr>
          <w:rFonts w:hint="eastAsia"/>
          <w:color w:val="auto"/>
          <w:szCs w:val="21"/>
          <w:lang w:bidi="ar"/>
        </w:rPr>
        <w:t>变更执行率等</w:t>
      </w:r>
      <w:r>
        <w:rPr>
          <w:rFonts w:hint="eastAsia"/>
          <w:color w:val="auto"/>
          <w:szCs w:val="21"/>
          <w:lang w:eastAsia="zh-CN" w:bidi="ar"/>
        </w:rPr>
        <w:t>。</w:t>
      </w:r>
      <w:r>
        <w:rPr>
          <w:rFonts w:hint="eastAsia"/>
          <w:color w:val="auto"/>
          <w:szCs w:val="21"/>
          <w:lang w:bidi="ar"/>
        </w:rPr>
        <w:t>结果性绩效指标应包括绝对指标和相对指标。</w:t>
      </w:r>
    </w:p>
    <w:p w14:paraId="753ED18F">
      <w:pPr>
        <w:pStyle w:val="79"/>
        <w:spacing w:before="160" w:after="160"/>
        <w:rPr>
          <w:color w:val="auto"/>
          <w:szCs w:val="21"/>
        </w:rPr>
      </w:pPr>
      <w:bookmarkStart w:id="1658" w:name="_Toc24350"/>
      <w:bookmarkStart w:id="1659" w:name="_Toc14195"/>
      <w:bookmarkStart w:id="1660" w:name="_Toc25401"/>
      <w:bookmarkStart w:id="1661" w:name="_Toc28261"/>
      <w:bookmarkStart w:id="1662" w:name="_Toc11789"/>
      <w:bookmarkStart w:id="1663" w:name="_Toc31711"/>
      <w:bookmarkStart w:id="1664" w:name="_Toc16354"/>
      <w:bookmarkStart w:id="1665" w:name="_Toc2161"/>
      <w:bookmarkStart w:id="1666" w:name="_Toc23138"/>
      <w:bookmarkStart w:id="1667" w:name="_Toc30848"/>
      <w:bookmarkStart w:id="1668" w:name="_Toc12404"/>
      <w:bookmarkStart w:id="1669" w:name="_Toc2400"/>
      <w:bookmarkStart w:id="1670" w:name="_Toc11756"/>
      <w:bookmarkStart w:id="1671" w:name="_Toc5396"/>
      <w:bookmarkStart w:id="1672" w:name="_Toc20406"/>
      <w:bookmarkStart w:id="1673" w:name="_Toc30843"/>
      <w:bookmarkStart w:id="1674" w:name="_Toc16497"/>
      <w:bookmarkStart w:id="1675" w:name="_Toc30669"/>
      <w:bookmarkStart w:id="1676" w:name="_Toc28479"/>
      <w:bookmarkStart w:id="1677" w:name="_Toc1684"/>
      <w:bookmarkStart w:id="1678" w:name="_Toc28201"/>
      <w:bookmarkStart w:id="1679" w:name="_Toc1105"/>
      <w:r>
        <w:rPr>
          <w:rFonts w:hint="eastAsia"/>
          <w:color w:val="auto"/>
          <w:szCs w:val="21"/>
        </w:rPr>
        <w:t>自评</w:t>
      </w:r>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p>
    <w:p w14:paraId="1483E960">
      <w:pPr>
        <w:pStyle w:val="171"/>
        <w:ind w:left="10" w:hanging="10" w:hangingChars="5"/>
        <w:textAlignment w:val="center"/>
        <w:rPr>
          <w:color w:val="auto"/>
          <w:szCs w:val="21"/>
          <w:lang w:bidi="ar"/>
        </w:rPr>
      </w:pPr>
      <w:r>
        <w:rPr>
          <w:rFonts w:hint="eastAsia"/>
          <w:color w:val="auto"/>
          <w:szCs w:val="21"/>
          <w:lang w:bidi="ar"/>
        </w:rPr>
        <w:t>企业应编制自评计划，</w:t>
      </w:r>
      <w:r>
        <w:rPr>
          <w:rFonts w:hint="default"/>
          <w:color w:val="auto"/>
          <w:szCs w:val="21"/>
          <w:lang w:bidi="ar"/>
        </w:rPr>
        <w:t>主要负责人任组长，</w:t>
      </w:r>
      <w:r>
        <w:rPr>
          <w:rFonts w:hint="eastAsia"/>
          <w:color w:val="auto"/>
          <w:szCs w:val="21"/>
          <w:lang w:bidi="ar"/>
        </w:rPr>
        <w:t>每年至少</w:t>
      </w:r>
      <w:r>
        <w:rPr>
          <w:rFonts w:hint="default"/>
          <w:color w:val="auto"/>
          <w:szCs w:val="21"/>
          <w:lang w:bidi="ar"/>
        </w:rPr>
        <w:t>一</w:t>
      </w:r>
      <w:r>
        <w:rPr>
          <w:rFonts w:hint="eastAsia"/>
          <w:color w:val="auto"/>
          <w:szCs w:val="21"/>
          <w:lang w:bidi="ar"/>
        </w:rPr>
        <w:t>次对安全生产标准化的运行情况进行自评，验证安全生产标准化运行的</w:t>
      </w:r>
      <w:r>
        <w:rPr>
          <w:rFonts w:hint="default"/>
          <w:color w:val="auto"/>
          <w:szCs w:val="21"/>
          <w:lang w:bidi="ar"/>
        </w:rPr>
        <w:t>适用</w:t>
      </w:r>
      <w:r>
        <w:rPr>
          <w:rFonts w:hint="default"/>
          <w:color w:val="auto"/>
          <w:szCs w:val="21"/>
          <w:highlight w:val="none"/>
          <w:lang w:bidi="ar"/>
        </w:rPr>
        <w:t>性、</w:t>
      </w:r>
      <w:r>
        <w:rPr>
          <w:rFonts w:hint="eastAsia"/>
          <w:color w:val="auto"/>
          <w:szCs w:val="21"/>
          <w:highlight w:val="none"/>
          <w:lang w:bidi="ar"/>
        </w:rPr>
        <w:t>符合性和有效性</w:t>
      </w:r>
      <w:r>
        <w:rPr>
          <w:rFonts w:hint="default"/>
          <w:color w:val="auto"/>
          <w:szCs w:val="21"/>
          <w:highlight w:val="none"/>
          <w:lang w:eastAsia="zh-CN" w:bidi="ar"/>
        </w:rPr>
        <w:t>，对自评发现的问题进行整改。</w:t>
      </w:r>
    </w:p>
    <w:p w14:paraId="23DAC704">
      <w:pPr>
        <w:pStyle w:val="171"/>
        <w:ind w:left="10" w:hanging="10" w:hangingChars="5"/>
        <w:textAlignment w:val="center"/>
        <w:rPr>
          <w:color w:val="auto"/>
          <w:szCs w:val="21"/>
          <w:lang w:bidi="ar"/>
        </w:rPr>
      </w:pPr>
      <w:r>
        <w:rPr>
          <w:rFonts w:hint="eastAsia"/>
          <w:color w:val="auto"/>
          <w:szCs w:val="21"/>
          <w:lang w:val="en-US" w:eastAsia="zh-CN" w:bidi="ar"/>
        </w:rPr>
        <w:t>企业应</w:t>
      </w:r>
      <w:r>
        <w:rPr>
          <w:rFonts w:hint="eastAsia"/>
          <w:color w:val="auto"/>
          <w:szCs w:val="21"/>
          <w:lang w:bidi="ar"/>
        </w:rPr>
        <w:t>根据自评结果，提出进一步完善安全生产标准化体系的计划和措施，不断提高安全管理绩效。</w:t>
      </w:r>
    </w:p>
    <w:p w14:paraId="0FBA3B07">
      <w:pPr>
        <w:pStyle w:val="171"/>
        <w:numPr>
          <w:ilvl w:val="0"/>
          <w:numId w:val="0"/>
        </w:numPr>
        <w:ind w:left="-10" w:leftChars="-5"/>
        <w:jc w:val="left"/>
        <w:rPr>
          <w:rFonts w:hint="eastAsia"/>
          <w:color w:val="auto"/>
          <w:szCs w:val="22"/>
          <w:lang w:bidi="ar"/>
        </w:rPr>
      </w:pPr>
    </w:p>
    <w:p w14:paraId="75618D11">
      <w:pPr>
        <w:pStyle w:val="69"/>
        <w:ind w:firstLine="0" w:firstLineChars="0"/>
        <w:jc w:val="center"/>
        <w:rPr>
          <w:color w:val="auto"/>
        </w:rPr>
      </w:pPr>
      <w:r>
        <w:rPr>
          <w:color w:val="auto"/>
        </w:rPr>
        <w:drawing>
          <wp:inline distT="0" distB="0" distL="114300" distR="114300">
            <wp:extent cx="1485900" cy="317500"/>
            <wp:effectExtent l="0" t="0" r="0" b="6350"/>
            <wp:docPr id="5" name="图片 2"/>
            <wp:cNvGraphicFramePr/>
            <a:graphic xmlns:a="http://schemas.openxmlformats.org/drawingml/2006/main">
              <a:graphicData uri="http://schemas.openxmlformats.org/drawingml/2006/picture">
                <pic:pic xmlns:pic="http://schemas.openxmlformats.org/drawingml/2006/picture">
                  <pic:nvPicPr>
                    <pic:cNvPr id="5" name="图片 2"/>
                    <pic:cNvPicPr/>
                  </pic:nvPicPr>
                  <pic:blipFill>
                    <a:blip r:embed="rId21"/>
                    <a:stretch>
                      <a:fillRect/>
                    </a:stretch>
                  </pic:blipFill>
                  <pic:spPr>
                    <a:xfrm>
                      <a:off x="0" y="0"/>
                      <a:ext cx="1485900" cy="317500"/>
                    </a:xfrm>
                    <a:prstGeom prst="rect">
                      <a:avLst/>
                    </a:prstGeom>
                    <a:noFill/>
                    <a:ln>
                      <a:noFill/>
                    </a:ln>
                  </pic:spPr>
                </pic:pic>
              </a:graphicData>
            </a:graphic>
          </wp:inline>
        </w:drawing>
      </w:r>
      <w:bookmarkEnd w:id="869"/>
    </w:p>
    <w:p w14:paraId="08598752">
      <w:pPr>
        <w:rPr>
          <w:color w:val="auto"/>
        </w:rPr>
      </w:pPr>
    </w:p>
    <w:p w14:paraId="4641F2A4">
      <w:pPr>
        <w:spacing w:line="560" w:lineRule="exact"/>
        <w:jc w:val="center"/>
      </w:pPr>
      <w:r>
        <w:br w:type="page"/>
      </w:r>
    </w:p>
    <w:p w14:paraId="2755EECE">
      <w:pPr>
        <w:spacing w:line="560" w:lineRule="exact"/>
        <w:jc w:val="center"/>
      </w:pPr>
    </w:p>
    <w:p w14:paraId="64195CD3">
      <w:pPr>
        <w:spacing w:line="560" w:lineRule="exact"/>
        <w:jc w:val="center"/>
        <w:rPr>
          <w:rFonts w:hint="eastAsia" w:ascii="方正小标宋简体" w:hAnsi="方正小标宋简体" w:eastAsia="方正小标宋简体" w:cs="方正小标宋简体"/>
          <w:bCs/>
          <w:spacing w:val="44"/>
          <w:sz w:val="52"/>
          <w:szCs w:val="52"/>
        </w:rPr>
      </w:pPr>
      <w:r>
        <w:rPr>
          <w:rFonts w:hint="eastAsia" w:ascii="方正小标宋简体" w:hAnsi="方正小标宋简体" w:eastAsia="方正小标宋简体" w:cs="方正小标宋简体"/>
          <w:bCs/>
          <w:spacing w:val="44"/>
          <w:sz w:val="52"/>
          <w:szCs w:val="52"/>
        </w:rPr>
        <w:t>《危险化学品企业安全生产标准化通用规范》（征求意见稿）</w:t>
      </w:r>
    </w:p>
    <w:p w14:paraId="038900A7">
      <w:pPr>
        <w:spacing w:line="560" w:lineRule="exact"/>
        <w:jc w:val="center"/>
        <w:rPr>
          <w:rFonts w:hint="eastAsia" w:ascii="方正小标宋简体" w:hAnsi="方正小标宋简体" w:eastAsia="方正小标宋简体" w:cs="方正小标宋简体"/>
          <w:bCs/>
          <w:spacing w:val="44"/>
          <w:sz w:val="52"/>
          <w:szCs w:val="52"/>
        </w:rPr>
      </w:pPr>
    </w:p>
    <w:p w14:paraId="6A4A98C7">
      <w:pPr>
        <w:spacing w:line="560" w:lineRule="exact"/>
        <w:jc w:val="center"/>
        <w:rPr>
          <w:rFonts w:hint="eastAsia" w:ascii="方正小标宋简体" w:hAnsi="方正小标宋简体" w:eastAsia="方正小标宋简体" w:cs="方正小标宋简体"/>
          <w:bCs/>
          <w:spacing w:val="44"/>
          <w:sz w:val="52"/>
          <w:szCs w:val="52"/>
        </w:rPr>
      </w:pPr>
    </w:p>
    <w:p w14:paraId="555DA229">
      <w:pPr>
        <w:spacing w:line="560" w:lineRule="exact"/>
        <w:jc w:val="center"/>
        <w:rPr>
          <w:rFonts w:hint="eastAsia" w:ascii="方正小标宋简体" w:hAnsi="方正小标宋简体" w:eastAsia="方正小标宋简体" w:cs="方正小标宋简体"/>
          <w:bCs/>
          <w:spacing w:val="44"/>
          <w:sz w:val="52"/>
          <w:szCs w:val="52"/>
        </w:rPr>
      </w:pPr>
      <w:r>
        <w:rPr>
          <w:rFonts w:hint="eastAsia" w:ascii="方正小标宋简体" w:hAnsi="方正小标宋简体" w:eastAsia="方正小标宋简体" w:cs="方正小标宋简体"/>
          <w:bCs/>
          <w:spacing w:val="44"/>
          <w:sz w:val="52"/>
          <w:szCs w:val="52"/>
        </w:rPr>
        <w:t>编制说明</w:t>
      </w:r>
    </w:p>
    <w:p w14:paraId="6898BD7F">
      <w:pPr>
        <w:spacing w:line="560" w:lineRule="exact"/>
        <w:ind w:firstLine="816" w:firstLineChars="200"/>
        <w:jc w:val="center"/>
        <w:rPr>
          <w:rFonts w:hint="eastAsia" w:ascii="宋体" w:hAnsi="宋体"/>
          <w:spacing w:val="44"/>
          <w:sz w:val="32"/>
          <w:szCs w:val="32"/>
        </w:rPr>
      </w:pPr>
    </w:p>
    <w:p w14:paraId="4072D7BD">
      <w:pPr>
        <w:spacing w:line="560" w:lineRule="exact"/>
        <w:ind w:firstLine="816" w:firstLineChars="200"/>
        <w:jc w:val="center"/>
        <w:rPr>
          <w:rFonts w:hint="eastAsia" w:ascii="宋体" w:hAnsi="宋体"/>
          <w:spacing w:val="44"/>
          <w:sz w:val="32"/>
          <w:szCs w:val="32"/>
        </w:rPr>
      </w:pPr>
    </w:p>
    <w:p w14:paraId="2CA9CE57">
      <w:pPr>
        <w:spacing w:line="560" w:lineRule="exact"/>
        <w:ind w:firstLine="816" w:firstLineChars="200"/>
        <w:jc w:val="center"/>
        <w:rPr>
          <w:rFonts w:hint="eastAsia" w:ascii="宋体" w:hAnsi="宋体"/>
          <w:spacing w:val="44"/>
          <w:sz w:val="32"/>
          <w:szCs w:val="32"/>
        </w:rPr>
      </w:pPr>
    </w:p>
    <w:p w14:paraId="5BE7F9E6">
      <w:pPr>
        <w:spacing w:line="560" w:lineRule="exact"/>
        <w:ind w:firstLine="816" w:firstLineChars="200"/>
        <w:jc w:val="center"/>
        <w:rPr>
          <w:rFonts w:hint="eastAsia" w:ascii="宋体" w:hAnsi="宋体"/>
          <w:spacing w:val="44"/>
          <w:sz w:val="32"/>
          <w:szCs w:val="32"/>
        </w:rPr>
      </w:pPr>
    </w:p>
    <w:p w14:paraId="12FF1373">
      <w:pPr>
        <w:spacing w:line="560" w:lineRule="exact"/>
        <w:ind w:firstLine="816" w:firstLineChars="200"/>
        <w:jc w:val="center"/>
        <w:rPr>
          <w:rFonts w:hint="eastAsia" w:ascii="宋体" w:hAnsi="宋体"/>
          <w:spacing w:val="44"/>
          <w:sz w:val="32"/>
          <w:szCs w:val="32"/>
        </w:rPr>
      </w:pPr>
    </w:p>
    <w:p w14:paraId="763AF53E">
      <w:pPr>
        <w:spacing w:line="560" w:lineRule="exact"/>
        <w:ind w:firstLine="816" w:firstLineChars="200"/>
        <w:jc w:val="center"/>
        <w:rPr>
          <w:rFonts w:hint="eastAsia" w:ascii="宋体" w:hAnsi="宋体"/>
          <w:spacing w:val="44"/>
          <w:sz w:val="32"/>
          <w:szCs w:val="32"/>
        </w:rPr>
      </w:pPr>
    </w:p>
    <w:p w14:paraId="0A0905FB">
      <w:pPr>
        <w:spacing w:line="560" w:lineRule="exact"/>
        <w:ind w:firstLine="816" w:firstLineChars="200"/>
        <w:jc w:val="center"/>
        <w:rPr>
          <w:rFonts w:hint="eastAsia" w:ascii="宋体" w:hAnsi="宋体"/>
          <w:spacing w:val="44"/>
          <w:sz w:val="32"/>
          <w:szCs w:val="32"/>
        </w:rPr>
      </w:pPr>
    </w:p>
    <w:p w14:paraId="6C877CB4">
      <w:pPr>
        <w:spacing w:line="560" w:lineRule="exact"/>
        <w:ind w:firstLine="816" w:firstLineChars="200"/>
        <w:jc w:val="center"/>
        <w:rPr>
          <w:rFonts w:hint="eastAsia" w:ascii="宋体" w:hAnsi="宋体"/>
          <w:spacing w:val="44"/>
          <w:sz w:val="32"/>
          <w:szCs w:val="32"/>
        </w:rPr>
      </w:pPr>
    </w:p>
    <w:p w14:paraId="4D04F877">
      <w:pPr>
        <w:spacing w:line="560" w:lineRule="exact"/>
        <w:ind w:firstLine="816" w:firstLineChars="200"/>
        <w:jc w:val="center"/>
        <w:rPr>
          <w:rFonts w:hint="eastAsia" w:ascii="宋体" w:hAnsi="宋体"/>
          <w:spacing w:val="44"/>
          <w:sz w:val="32"/>
          <w:szCs w:val="32"/>
        </w:rPr>
      </w:pPr>
    </w:p>
    <w:p w14:paraId="0E6E5B00">
      <w:pPr>
        <w:tabs>
          <w:tab w:val="left" w:pos="6636"/>
        </w:tabs>
        <w:spacing w:line="560" w:lineRule="exact"/>
        <w:ind w:firstLine="816" w:firstLineChars="200"/>
        <w:jc w:val="left"/>
        <w:rPr>
          <w:rFonts w:hint="eastAsia" w:ascii="宋体" w:hAnsi="宋体"/>
          <w:spacing w:val="44"/>
          <w:sz w:val="32"/>
          <w:szCs w:val="32"/>
          <w:lang w:val="en"/>
        </w:rPr>
      </w:pPr>
      <w:r>
        <w:rPr>
          <w:rFonts w:ascii="宋体" w:hAnsi="宋体"/>
          <w:spacing w:val="44"/>
          <w:sz w:val="32"/>
          <w:szCs w:val="32"/>
          <w:lang w:val="en"/>
        </w:rPr>
        <w:tab/>
      </w:r>
    </w:p>
    <w:p w14:paraId="465295D3">
      <w:pPr>
        <w:spacing w:line="560" w:lineRule="exact"/>
        <w:jc w:val="center"/>
        <w:rPr>
          <w:rFonts w:hint="eastAsia" w:ascii="宋体" w:hAnsi="宋体"/>
          <w:b/>
          <w:bCs/>
          <w:spacing w:val="44"/>
          <w:sz w:val="32"/>
          <w:szCs w:val="32"/>
        </w:rPr>
      </w:pPr>
      <w:r>
        <w:rPr>
          <w:rFonts w:hint="eastAsia" w:ascii="宋体" w:hAnsi="宋体"/>
          <w:b/>
          <w:bCs/>
          <w:spacing w:val="44"/>
          <w:sz w:val="32"/>
          <w:szCs w:val="32"/>
        </w:rPr>
        <w:t>标准编制工作组</w:t>
      </w:r>
    </w:p>
    <w:p w14:paraId="0018A601">
      <w:pPr>
        <w:spacing w:line="560" w:lineRule="exact"/>
        <w:jc w:val="center"/>
        <w:rPr>
          <w:rFonts w:hint="eastAsia" w:ascii="宋体" w:hAnsi="宋体"/>
          <w:spacing w:val="44"/>
          <w:sz w:val="32"/>
          <w:szCs w:val="32"/>
        </w:rPr>
      </w:pPr>
      <w:r>
        <w:rPr>
          <w:rFonts w:hint="eastAsia" w:ascii="宋体" w:hAnsi="宋体"/>
          <w:b/>
          <w:bCs/>
          <w:spacing w:val="44"/>
          <w:sz w:val="32"/>
          <w:szCs w:val="32"/>
        </w:rPr>
        <w:t>二〇二四年</w:t>
      </w:r>
      <w:r>
        <w:rPr>
          <w:rFonts w:ascii="宋体" w:hAnsi="宋体"/>
          <w:b/>
          <w:bCs/>
          <w:spacing w:val="44"/>
          <w:sz w:val="32"/>
          <w:szCs w:val="32"/>
        </w:rPr>
        <w:t>八</w:t>
      </w:r>
      <w:r>
        <w:rPr>
          <w:rFonts w:hint="eastAsia" w:ascii="宋体" w:hAnsi="宋体"/>
          <w:b/>
          <w:bCs/>
          <w:spacing w:val="44"/>
          <w:sz w:val="32"/>
          <w:szCs w:val="32"/>
        </w:rPr>
        <w:t>月</w:t>
      </w:r>
    </w:p>
    <w:p w14:paraId="3AD12015">
      <w:pPr>
        <w:spacing w:line="560" w:lineRule="exact"/>
        <w:ind w:firstLine="640" w:firstLineChars="200"/>
        <w:rPr>
          <w:rFonts w:hint="eastAsia" w:ascii="黑体" w:hAnsi="黑体" w:eastAsia="黑体"/>
          <w:color w:val="000000"/>
          <w:sz w:val="32"/>
        </w:rPr>
      </w:pPr>
    </w:p>
    <w:p w14:paraId="447AA580">
      <w:pPr>
        <w:spacing w:line="560" w:lineRule="exact"/>
        <w:ind w:firstLine="460" w:firstLineChars="200"/>
        <w:jc w:val="left"/>
        <w:rPr>
          <w:rFonts w:hint="eastAsia" w:ascii="黑体" w:hAnsi="黑体" w:eastAsia="黑体"/>
          <w:color w:val="000000"/>
          <w:sz w:val="23"/>
        </w:rPr>
      </w:pPr>
    </w:p>
    <w:p w14:paraId="0E7121F5">
      <w:pPr>
        <w:rPr>
          <w:rFonts w:hint="eastAsia" w:ascii="黑体" w:hAnsi="黑体" w:eastAsia="黑体"/>
          <w:color w:val="000000"/>
          <w:sz w:val="23"/>
        </w:rPr>
      </w:pPr>
    </w:p>
    <w:p w14:paraId="29C1A868">
      <w:pPr>
        <w:pStyle w:val="2"/>
        <w:rPr>
          <w:rFonts w:hint="eastAsia" w:ascii="黑体" w:hAnsi="黑体" w:eastAsia="黑体"/>
          <w:color w:val="000000"/>
          <w:sz w:val="23"/>
        </w:rPr>
      </w:pPr>
    </w:p>
    <w:p w14:paraId="6FE7676A">
      <w:pPr>
        <w:rPr>
          <w:rFonts w:hint="eastAsia" w:ascii="黑体" w:hAnsi="黑体" w:eastAsia="黑体"/>
          <w:color w:val="000000"/>
          <w:sz w:val="23"/>
        </w:rPr>
      </w:pPr>
    </w:p>
    <w:p w14:paraId="474F538B">
      <w:pPr>
        <w:spacing w:line="560" w:lineRule="exact"/>
        <w:jc w:val="left"/>
        <w:rPr>
          <w:rFonts w:ascii="黑体" w:hAnsi="黑体" w:eastAsia="黑体"/>
          <w:color w:val="000000"/>
          <w:sz w:val="32"/>
          <w:szCs w:val="32"/>
        </w:rPr>
      </w:pPr>
    </w:p>
    <w:p w14:paraId="3C8EF031">
      <w:pPr>
        <w:spacing w:line="560" w:lineRule="exact"/>
        <w:ind w:firstLine="640" w:firstLineChars="200"/>
        <w:jc w:val="left"/>
        <w:rPr>
          <w:rFonts w:hint="eastAsia" w:ascii="宋体" w:hAnsi="宋体" w:eastAsia="黑体"/>
          <w:color w:val="000000"/>
          <w:sz w:val="32"/>
          <w:szCs w:val="32"/>
        </w:rPr>
      </w:pPr>
      <w:r>
        <w:rPr>
          <w:rFonts w:ascii="黑体" w:hAnsi="黑体" w:eastAsia="黑体"/>
          <w:color w:val="000000"/>
          <w:sz w:val="32"/>
          <w:szCs w:val="32"/>
        </w:rPr>
        <w:t>一、工作简况</w:t>
      </w:r>
    </w:p>
    <w:p w14:paraId="20B73CEF">
      <w:pPr>
        <w:spacing w:line="560" w:lineRule="exact"/>
        <w:ind w:firstLine="643" w:firstLineChars="200"/>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w:t>
      </w:r>
      <w:r>
        <w:rPr>
          <w:rFonts w:hint="eastAsia" w:ascii="楷体_GB2312" w:hAnsi="楷体_GB2312" w:eastAsia="楷体_GB2312" w:cs="楷体_GB2312"/>
          <w:b/>
          <w:bCs/>
          <w:color w:val="000000"/>
          <w:sz w:val="32"/>
          <w:szCs w:val="32"/>
          <w:lang w:val="en"/>
        </w:rPr>
        <w:t>一</w:t>
      </w:r>
      <w:r>
        <w:rPr>
          <w:rFonts w:hint="eastAsia" w:ascii="楷体_GB2312" w:hAnsi="楷体_GB2312" w:eastAsia="楷体_GB2312" w:cs="楷体_GB2312"/>
          <w:b/>
          <w:bCs/>
          <w:color w:val="000000"/>
          <w:sz w:val="32"/>
          <w:szCs w:val="32"/>
        </w:rPr>
        <w:t>）编制背景</w:t>
      </w:r>
    </w:p>
    <w:p w14:paraId="47038397">
      <w:pPr>
        <w:spacing w:line="560" w:lineRule="exact"/>
        <w:ind w:firstLine="643" w:firstLineChars="200"/>
        <w:rPr>
          <w:rFonts w:hint="eastAsia" w:ascii="宋体" w:hAnsi="宋体" w:eastAsia="仿宋_GB2312" w:cs="仿宋_GB2312"/>
          <w:b/>
          <w:bCs/>
          <w:sz w:val="32"/>
          <w:szCs w:val="32"/>
        </w:rPr>
      </w:pPr>
      <w:r>
        <w:rPr>
          <w:rFonts w:hint="eastAsia" w:ascii="宋体" w:hAnsi="宋体" w:eastAsia="仿宋_GB2312" w:cs="仿宋_GB2312"/>
          <w:b/>
          <w:bCs/>
          <w:sz w:val="32"/>
          <w:szCs w:val="32"/>
        </w:rPr>
        <w:t>1.工作的重要性</w:t>
      </w:r>
    </w:p>
    <w:p w14:paraId="78A36017">
      <w:pPr>
        <w:spacing w:line="560" w:lineRule="exact"/>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安全生产标准化是结合国际通用的安全管理体系经验做法构建的具有中国特色的安全生产管理体系。推进安全生产标准化建设，是落实习近平总书记关于企业落实安全生产主体责任必须做到“安全投入到位，安全培训到位，基础管理到位，应急救援到位”的具体举措，是《安全生产法》和《中共中央国务院关于推进安全生产领域改革发展的意见》的明确要求，是安全生产治本攻坚三年行动方案的重要内容，也是固本强基、夯实企业安全生产基层基础的有力抓手。</w:t>
      </w:r>
    </w:p>
    <w:p w14:paraId="55CFA8BC">
      <w:pPr>
        <w:spacing w:line="560" w:lineRule="exact"/>
        <w:ind w:firstLine="643" w:firstLineChars="200"/>
        <w:rPr>
          <w:rFonts w:hint="eastAsia" w:ascii="宋体" w:hAnsi="宋体" w:eastAsia="仿宋_GB2312"/>
          <w:b/>
          <w:bCs/>
          <w:sz w:val="32"/>
          <w:szCs w:val="32"/>
        </w:rPr>
      </w:pPr>
      <w:r>
        <w:rPr>
          <w:rFonts w:hint="eastAsia" w:ascii="宋体" w:hAnsi="宋体" w:eastAsia="仿宋_GB2312"/>
          <w:b/>
          <w:bCs/>
          <w:sz w:val="32"/>
          <w:szCs w:val="32"/>
        </w:rPr>
        <w:t>2.发挥的作用</w:t>
      </w:r>
    </w:p>
    <w:p w14:paraId="7DBB53E0">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国家有关部门相继颁布了一系列涉及安全生产标准化工作的法律法规、标准和规范性文件，明确了安全生产标准化的指导思想、工作目标、创建程序、评审定级条件、发展规划及监管要求等，有关企业积极开展标准化建设，强化安全管理基础，规范安全作业行为，改善安全生产条件，提高本质安全水平，提升安全风险防控能力，化工事故起数和死亡人数呈整体下降趋势。</w:t>
      </w:r>
    </w:p>
    <w:p w14:paraId="179DFEBB">
      <w:pPr>
        <w:spacing w:line="560" w:lineRule="exact"/>
        <w:ind w:firstLine="643" w:firstLineChars="200"/>
        <w:rPr>
          <w:rFonts w:hint="eastAsia" w:ascii="宋体" w:hAnsi="宋体" w:eastAsia="仿宋_GB2312"/>
          <w:b/>
          <w:bCs/>
          <w:sz w:val="32"/>
          <w:szCs w:val="32"/>
        </w:rPr>
      </w:pPr>
      <w:r>
        <w:rPr>
          <w:rFonts w:hint="eastAsia" w:ascii="宋体" w:hAnsi="宋体" w:eastAsia="仿宋_GB2312"/>
          <w:b/>
          <w:bCs/>
          <w:sz w:val="32"/>
          <w:szCs w:val="32"/>
        </w:rPr>
        <w:t>3.编制的必要性</w:t>
      </w:r>
    </w:p>
    <w:p w14:paraId="1BBF3E79">
      <w:pPr>
        <w:widowControl w:val="0"/>
        <w:spacing w:line="560" w:lineRule="exact"/>
        <w:ind w:firstLine="640" w:firstLineChars="200"/>
        <w:rPr>
          <w:rFonts w:hint="eastAsia" w:ascii="宋体" w:hAnsi="宋体" w:eastAsia="仿宋_GB2312" w:cs="Times New Roman"/>
          <w:sz w:val="32"/>
          <w:szCs w:val="32"/>
        </w:rPr>
      </w:pPr>
      <w:r>
        <w:rPr>
          <w:rFonts w:hint="eastAsia" w:ascii="宋体" w:hAnsi="宋体" w:eastAsia="仿宋_GB2312"/>
          <w:sz w:val="32"/>
          <w:szCs w:val="32"/>
        </w:rPr>
        <w:t>近年来，经济社会不断发展，新《安全生产法》《关于全面加强危险化学品安全生产工作的意见》《化工过程安全管理导则》《企业安全生产标准化建设定级办法》等法律标准文件对危险化学品安全管理提出了新要求，</w:t>
      </w:r>
      <w:r>
        <w:rPr>
          <w:rFonts w:ascii="宋体" w:hAnsi="宋体" w:eastAsia="仿宋_GB2312" w:cs="Times New Roman"/>
          <w:sz w:val="32"/>
          <w:szCs w:val="32"/>
          <w:lang w:bidi="ar"/>
        </w:rPr>
        <w:t>突出强化安全生产责任落实、重大安全风险辨识与防控、信息化数字化建设和应用等内容，</w:t>
      </w:r>
      <w:r>
        <w:rPr>
          <w:rFonts w:hint="eastAsia" w:ascii="宋体" w:hAnsi="宋体" w:eastAsia="仿宋_GB2312"/>
          <w:sz w:val="32"/>
          <w:szCs w:val="32"/>
        </w:rPr>
        <w:t>需要将其纳入危险化学品</w:t>
      </w:r>
      <w:r>
        <w:rPr>
          <w:rFonts w:ascii="宋体" w:hAnsi="宋体" w:eastAsia="仿宋_GB2312"/>
          <w:sz w:val="32"/>
          <w:szCs w:val="32"/>
        </w:rPr>
        <w:t>企业</w:t>
      </w:r>
      <w:r>
        <w:rPr>
          <w:rFonts w:hint="eastAsia" w:ascii="宋体" w:hAnsi="宋体" w:eastAsia="仿宋_GB2312"/>
          <w:sz w:val="32"/>
          <w:szCs w:val="32"/>
        </w:rPr>
        <w:t>安全生产标准化建设工作中，</w:t>
      </w:r>
      <w:r>
        <w:rPr>
          <w:rFonts w:ascii="宋体" w:hAnsi="宋体" w:eastAsia="仿宋_GB2312" w:cs="Times New Roman"/>
          <w:sz w:val="32"/>
          <w:szCs w:val="32"/>
          <w:lang w:bidi="ar"/>
        </w:rPr>
        <w:t>进一步完善安全生产标准化体系，</w:t>
      </w:r>
      <w:r>
        <w:rPr>
          <w:rFonts w:hint="eastAsia" w:ascii="宋体" w:hAnsi="宋体" w:eastAsia="仿宋_GB2312"/>
          <w:sz w:val="32"/>
          <w:szCs w:val="32"/>
        </w:rPr>
        <w:t>推动安全管理各个要素落地落实。而2008年以来发布实施的《危险化学品从业单位安全标准化通用规范》（AQ 3013-2008）、《硫酸生产企业安全生产标准化实施指南》（AQ 3037-2010）等</w:t>
      </w:r>
      <w:r>
        <w:rPr>
          <w:rFonts w:ascii="宋体" w:hAnsi="宋体" w:eastAsia="仿宋_GB2312"/>
          <w:sz w:val="32"/>
          <w:szCs w:val="32"/>
        </w:rPr>
        <w:t>7项</w:t>
      </w:r>
      <w:r>
        <w:rPr>
          <w:rFonts w:hint="eastAsia" w:ascii="宋体" w:hAnsi="宋体" w:eastAsia="仿宋_GB2312"/>
          <w:sz w:val="32"/>
          <w:szCs w:val="32"/>
        </w:rPr>
        <w:t>行业标准，实施时间均超14年，部分内容与当前危险化学品安全管理新形势新要求不匹配</w:t>
      </w:r>
      <w:r>
        <w:rPr>
          <w:rFonts w:ascii="宋体" w:hAnsi="宋体" w:eastAsia="仿宋_GB2312"/>
          <w:sz w:val="32"/>
          <w:szCs w:val="32"/>
        </w:rPr>
        <w:t>、</w:t>
      </w:r>
      <w:r>
        <w:rPr>
          <w:rFonts w:ascii="仿宋_GB2312" w:hAnsi="宋体" w:eastAsia="仿宋_GB2312" w:cs="仿宋_GB2312"/>
          <w:sz w:val="32"/>
          <w:szCs w:val="32"/>
          <w:lang w:bidi="ar"/>
        </w:rPr>
        <w:t>可操作性不强</w:t>
      </w:r>
      <w:r>
        <w:rPr>
          <w:rFonts w:ascii="宋体" w:hAnsi="宋体" w:eastAsia="仿宋_GB2312" w:cs="Times New Roman"/>
          <w:sz w:val="32"/>
          <w:szCs w:val="32"/>
          <w:lang w:bidi="ar"/>
        </w:rPr>
        <w:t>，需要着力问题导向和目标导向，进一步规范标准化核心要素，细化和明确相关要求，确保更加科学、规范和实用，提高工作质量，更加精准引导危险化学品企业加大安全投入，加快补短板强弱项，不断提升本质安全水平和安全保障能力。</w:t>
      </w:r>
    </w:p>
    <w:p w14:paraId="560BBAC1">
      <w:pPr>
        <w:spacing w:line="560" w:lineRule="exact"/>
        <w:ind w:firstLine="643" w:firstLineChars="200"/>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（二）任务来源</w:t>
      </w:r>
    </w:p>
    <w:p w14:paraId="00AE2D2E">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应急管理部于2020年、2021年先后印发《加快推动强制性标准整合工作的函》《关于报送〈强制性标准整合工作方案〉的函》，提出将《危险化学品从业单位安全标准化通用规范》(AQ 3013-2008)、《硫酸生产企业安全生产标准化实施指南》(AQ 3037-2010)等7项标准整合为强制性国家标准《危险化学品企业安全生产标准化通用规范》（以下简称《通用规范》）。根据国家标准化管理委员会《</w:t>
      </w:r>
      <w:bookmarkStart w:id="1680" w:name="OLE_LINK2"/>
      <w:r>
        <w:rPr>
          <w:rFonts w:hint="eastAsia" w:ascii="宋体" w:hAnsi="宋体" w:eastAsia="仿宋_GB2312"/>
          <w:sz w:val="32"/>
          <w:szCs w:val="32"/>
        </w:rPr>
        <w:t>关于下达〈压力锅安全技术规范〉等36项强制性国家标准制修订计划及相关标准外文版计划的通知</w:t>
      </w:r>
      <w:bookmarkEnd w:id="1680"/>
      <w:r>
        <w:rPr>
          <w:rFonts w:hint="eastAsia" w:ascii="宋体" w:hAnsi="宋体" w:eastAsia="仿宋_GB2312"/>
          <w:sz w:val="32"/>
          <w:szCs w:val="32"/>
        </w:rPr>
        <w:t>》（国标委发〔2023〕15号）的要求，《通用规范》的制订由应急管理部归口，计划编号为20230462-Q-450，项目周期22个月。</w:t>
      </w:r>
    </w:p>
    <w:p w14:paraId="0B7C27DD">
      <w:pPr>
        <w:spacing w:line="560" w:lineRule="exact"/>
        <w:ind w:firstLine="643" w:firstLineChars="200"/>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（三）起草人员组成及所在单位</w:t>
      </w:r>
    </w:p>
    <w:p w14:paraId="7E65E7E1">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根据标准立项计划，应急管理部化学品登记中心牵头，中石化安全工程研究院有限公司、中石化管理体系认证（青岛）有限公司、青岛诺诚化学品安全科技有限公司、中国石化工程建设有限公司等单位参加修订工作。</w:t>
      </w:r>
    </w:p>
    <w:p w14:paraId="3A3C4B4F">
      <w:pPr>
        <w:spacing w:line="560" w:lineRule="exact"/>
        <w:ind w:firstLine="643" w:firstLineChars="200"/>
        <w:jc w:val="left"/>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（四）主要起草过程</w:t>
      </w:r>
    </w:p>
    <w:p w14:paraId="13B670AF">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1.2023年4月至7月，组建编制工作组，明确了编制原则、任务分工、时间节点及工作要求</w:t>
      </w:r>
      <w:r>
        <w:rPr>
          <w:rFonts w:ascii="宋体" w:hAnsi="宋体" w:eastAsia="仿宋_GB2312"/>
          <w:sz w:val="32"/>
          <w:szCs w:val="32"/>
        </w:rPr>
        <w:t>。</w:t>
      </w:r>
      <w:r>
        <w:rPr>
          <w:rFonts w:hint="eastAsia" w:ascii="宋体" w:hAnsi="宋体" w:eastAsia="仿宋_GB2312"/>
          <w:sz w:val="32"/>
          <w:szCs w:val="32"/>
        </w:rPr>
        <w:t>开展了相关调研，收集了相关资料，策划确定标准框架结构及要素设置。</w:t>
      </w:r>
    </w:p>
    <w:p w14:paraId="3F377424">
      <w:pPr>
        <w:spacing w:line="560" w:lineRule="exact"/>
        <w:ind w:firstLine="640" w:firstLineChars="200"/>
        <w:rPr>
          <w:rFonts w:hint="eastAsia" w:ascii="宋体" w:hAnsi="宋体" w:eastAsia="仿宋_GB2312"/>
          <w:sz w:val="32"/>
          <w:szCs w:val="32"/>
        </w:rPr>
      </w:pPr>
      <w:r>
        <w:rPr>
          <w:rFonts w:ascii="宋体" w:hAnsi="宋体" w:eastAsia="仿宋_GB2312"/>
          <w:sz w:val="32"/>
          <w:szCs w:val="32"/>
        </w:rPr>
        <w:t>2</w:t>
      </w:r>
      <w:r>
        <w:rPr>
          <w:rFonts w:hint="eastAsia" w:ascii="宋体" w:hAnsi="宋体" w:eastAsia="仿宋_GB2312"/>
          <w:sz w:val="32"/>
          <w:szCs w:val="32"/>
        </w:rPr>
        <w:t>.2023年8月至12月，工作组多次组织开展专题研讨，进一步优化完善了标准框架结构及要素设置，并征求了部分省份、典型企业及专家的意见。</w:t>
      </w:r>
    </w:p>
    <w:p w14:paraId="3C9021A2">
      <w:pPr>
        <w:spacing w:line="560" w:lineRule="exact"/>
        <w:ind w:firstLine="640" w:firstLineChars="200"/>
        <w:rPr>
          <w:rFonts w:hint="eastAsia" w:ascii="宋体" w:hAnsi="宋体" w:eastAsia="仿宋_GB2312"/>
          <w:sz w:val="32"/>
          <w:szCs w:val="32"/>
        </w:rPr>
      </w:pPr>
      <w:r>
        <w:rPr>
          <w:rFonts w:ascii="宋体" w:hAnsi="宋体" w:eastAsia="仿宋_GB2312"/>
          <w:sz w:val="32"/>
          <w:szCs w:val="32"/>
        </w:rPr>
        <w:t>3</w:t>
      </w:r>
      <w:r>
        <w:rPr>
          <w:rFonts w:hint="eastAsia" w:ascii="宋体" w:hAnsi="宋体" w:eastAsia="仿宋_GB2312"/>
          <w:sz w:val="32"/>
          <w:szCs w:val="32"/>
        </w:rPr>
        <w:t>.2023年12月至2024年2月，工作组起草了标准初稿，向危险化学品生产、使用、经营企业代表和专家征求意见，并对初稿进行了修改完善。</w:t>
      </w:r>
    </w:p>
    <w:p w14:paraId="1340578D">
      <w:pPr>
        <w:spacing w:line="560" w:lineRule="exact"/>
        <w:ind w:firstLine="640" w:firstLineChars="200"/>
        <w:rPr>
          <w:rFonts w:hint="eastAsia" w:ascii="宋体" w:hAnsi="宋体" w:eastAsia="仿宋_GB2312"/>
          <w:sz w:val="32"/>
          <w:szCs w:val="32"/>
        </w:rPr>
      </w:pPr>
      <w:r>
        <w:rPr>
          <w:rFonts w:ascii="宋体" w:hAnsi="宋体" w:eastAsia="仿宋_GB2312"/>
          <w:sz w:val="32"/>
          <w:szCs w:val="32"/>
        </w:rPr>
        <w:t>4</w:t>
      </w:r>
      <w:r>
        <w:rPr>
          <w:rFonts w:hint="eastAsia" w:ascii="宋体" w:hAnsi="宋体" w:eastAsia="仿宋_GB2312"/>
          <w:sz w:val="32"/>
          <w:szCs w:val="32"/>
        </w:rPr>
        <w:t>.2024年3月至5月，应急管理部化学品登记中心先后牵头组织5次标准研讨会，邀请重点省份应急管理部门、行业协会及典型企业专家，对标准初稿框架结构、要素设置、条款内容等方面进行研讨。</w:t>
      </w:r>
    </w:p>
    <w:p w14:paraId="4EE8872B">
      <w:pPr>
        <w:spacing w:line="560" w:lineRule="exact"/>
        <w:ind w:firstLine="640" w:firstLineChars="200"/>
        <w:rPr>
          <w:rFonts w:hint="eastAsia" w:ascii="宋体" w:hAnsi="宋体" w:eastAsia="仿宋_GB2312"/>
          <w:sz w:val="32"/>
          <w:szCs w:val="32"/>
        </w:rPr>
      </w:pPr>
      <w:r>
        <w:rPr>
          <w:rFonts w:ascii="宋体" w:hAnsi="宋体" w:eastAsia="仿宋_GB2312"/>
          <w:sz w:val="32"/>
          <w:szCs w:val="32"/>
        </w:rPr>
        <w:t>5</w:t>
      </w:r>
      <w:r>
        <w:rPr>
          <w:rFonts w:hint="eastAsia" w:ascii="宋体" w:hAnsi="宋体" w:eastAsia="仿宋_GB2312"/>
          <w:sz w:val="32"/>
          <w:szCs w:val="32"/>
        </w:rPr>
        <w:t>.2024年6月至今，应急部危化监管一司、全国安全生产标准化技术委员会化学品安全分技术委员会分别组织中国石油、中国石化、国家能源和有关行业协会等单位专家，对标准进行了研讨。工作组根据专家意见，进一步修改完善形成《危险化学品企业安全生产标准化通用规范（征求意见稿）》。</w:t>
      </w:r>
    </w:p>
    <w:p w14:paraId="40D92584">
      <w:pPr>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二、编制原则、强制性国家标准主要技术要求的依据</w:t>
      </w:r>
    </w:p>
    <w:p w14:paraId="5723DFB5">
      <w:pPr>
        <w:spacing w:line="560" w:lineRule="exact"/>
        <w:ind w:firstLine="583" w:firstLineChars="200"/>
        <w:jc w:val="left"/>
        <w:rPr>
          <w:rFonts w:hint="eastAsia" w:ascii="楷体_GB2312" w:hAnsi="楷体_GB2312" w:eastAsia="楷体_GB2312" w:cs="楷体_GB2312"/>
          <w:b/>
          <w:bCs/>
          <w:spacing w:val="-15"/>
          <w:sz w:val="32"/>
          <w:szCs w:val="32"/>
        </w:rPr>
      </w:pPr>
      <w:r>
        <w:rPr>
          <w:rFonts w:hint="eastAsia" w:ascii="楷体_GB2312" w:hAnsi="楷体_GB2312" w:eastAsia="楷体_GB2312" w:cs="楷体_GB2312"/>
          <w:b/>
          <w:bCs/>
          <w:spacing w:val="-15"/>
          <w:sz w:val="32"/>
          <w:szCs w:val="32"/>
        </w:rPr>
        <w:t>（一）标准编制原则</w:t>
      </w:r>
    </w:p>
    <w:p w14:paraId="64DDFC5E">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本标准编制以我国危险化学品安全生产相关法律法规、标准规范为依据，按照防控重大安全风险，提升本质安全水平、技能素质水平、信息化智能化管控水平的要求，坚持问题导向、目标导向和结果导向，充分总结分析了全国危险化学品企业安全生产标准化建设中存在的共性问题，吸收了法律法规、标准和规范性文件对于安全生产标准化工作的新规定和新要求，针对危险化学品生产、使用、经营企业的安全管理现状，对危险化学品企业安全生产标准化建设提出规范要求，强化安全风险管控，有效防范事故发生。</w:t>
      </w:r>
    </w:p>
    <w:p w14:paraId="0E71B998">
      <w:pPr>
        <w:spacing w:line="560" w:lineRule="exact"/>
        <w:ind w:firstLine="643" w:firstLineChars="200"/>
        <w:jc w:val="left"/>
        <w:rPr>
          <w:rFonts w:hint="eastAsia" w:ascii="仿宋_GB2312" w:hAnsi="仿宋_GB2312" w:eastAsia="仿宋_GB2312" w:cs="仿宋_GB2312"/>
          <w:b/>
          <w:bCs/>
          <w:sz w:val="32"/>
          <w:szCs w:val="32"/>
        </w:rPr>
      </w:pPr>
      <w:r>
        <w:rPr>
          <w:rFonts w:hint="eastAsia" w:ascii="宋体" w:hAnsi="宋体" w:eastAsia="仿宋_GB2312" w:cs="仿宋_GB2312"/>
          <w:b/>
          <w:bCs/>
          <w:sz w:val="32"/>
          <w:szCs w:val="32"/>
        </w:rPr>
        <w:t>1.合规性原</w:t>
      </w:r>
      <w:r>
        <w:rPr>
          <w:rFonts w:hint="eastAsia" w:ascii="仿宋_GB2312" w:hAnsi="仿宋_GB2312" w:eastAsia="仿宋_GB2312" w:cs="仿宋_GB2312"/>
          <w:b/>
          <w:bCs/>
          <w:sz w:val="32"/>
          <w:szCs w:val="32"/>
        </w:rPr>
        <w:t>则</w:t>
      </w:r>
    </w:p>
    <w:p w14:paraId="452E4662">
      <w:pPr>
        <w:spacing w:line="560" w:lineRule="exact"/>
        <w:ind w:firstLine="640" w:firstLineChars="200"/>
        <w:jc w:val="left"/>
        <w:rPr>
          <w:sz w:val="32"/>
          <w:szCs w:val="32"/>
        </w:rPr>
      </w:pPr>
      <w:r>
        <w:rPr>
          <w:rFonts w:hint="eastAsia" w:ascii="宋体" w:hAnsi="宋体" w:eastAsia="仿宋_GB2312"/>
          <w:sz w:val="32"/>
          <w:szCs w:val="32"/>
        </w:rPr>
        <w:t>本标准按照GB/T 1.1-2020《标准化工作导则第1部分：标准化文件的结构和起草规则》的要求进行编写，符合《中华人民共和国安全生产法》等现行法律法规的要求。</w:t>
      </w:r>
    </w:p>
    <w:p w14:paraId="28F11C3B">
      <w:pPr>
        <w:spacing w:line="560" w:lineRule="exact"/>
        <w:ind w:firstLine="643" w:firstLineChars="200"/>
        <w:jc w:val="left"/>
        <w:rPr>
          <w:rFonts w:hint="eastAsia" w:ascii="宋体" w:hAnsi="宋体" w:eastAsia="仿宋_GB2312" w:cs="仿宋_GB2312"/>
          <w:b/>
          <w:bCs/>
          <w:sz w:val="32"/>
          <w:szCs w:val="32"/>
        </w:rPr>
      </w:pPr>
      <w:r>
        <w:rPr>
          <w:rFonts w:hint="eastAsia" w:ascii="宋体" w:hAnsi="宋体" w:eastAsia="仿宋_GB2312" w:cs="仿宋_GB2312"/>
          <w:b/>
          <w:bCs/>
          <w:sz w:val="32"/>
          <w:szCs w:val="32"/>
        </w:rPr>
        <w:t>2.适用性原则</w:t>
      </w:r>
    </w:p>
    <w:p w14:paraId="3D2EC209">
      <w:pPr>
        <w:spacing w:line="560" w:lineRule="exact"/>
        <w:ind w:firstLine="640" w:firstLineChars="200"/>
        <w:jc w:val="left"/>
        <w:rPr>
          <w:sz w:val="32"/>
          <w:szCs w:val="32"/>
        </w:rPr>
      </w:pPr>
      <w:r>
        <w:rPr>
          <w:rFonts w:hint="eastAsia" w:ascii="宋体" w:hAnsi="宋体" w:eastAsia="仿宋_GB2312"/>
          <w:sz w:val="32"/>
          <w:szCs w:val="32"/>
        </w:rPr>
        <w:t>本标准适用于危险化学品生产企业、使用危险化学品从事生产的化工企业，以及储存危险化学品经营的企业。规定了危险化学品企业开展安全生产标准化的原则、过程和要求。</w:t>
      </w:r>
    </w:p>
    <w:p w14:paraId="32C65D5B">
      <w:pPr>
        <w:spacing w:line="560" w:lineRule="exact"/>
        <w:ind w:firstLine="643" w:firstLineChars="200"/>
        <w:jc w:val="left"/>
        <w:rPr>
          <w:rFonts w:hint="eastAsia" w:ascii="宋体" w:hAnsi="宋体" w:eastAsia="仿宋_GB2312" w:cs="仿宋_GB2312"/>
          <w:b/>
          <w:bCs/>
          <w:sz w:val="32"/>
          <w:szCs w:val="32"/>
        </w:rPr>
      </w:pPr>
      <w:r>
        <w:rPr>
          <w:rFonts w:hint="eastAsia" w:ascii="宋体" w:hAnsi="宋体" w:eastAsia="仿宋_GB2312" w:cs="仿宋_GB2312"/>
          <w:b/>
          <w:bCs/>
          <w:sz w:val="32"/>
          <w:szCs w:val="32"/>
        </w:rPr>
        <w:t>3.创新性原则</w:t>
      </w:r>
    </w:p>
    <w:p w14:paraId="50B11BEE">
      <w:pPr>
        <w:spacing w:line="560" w:lineRule="exact"/>
        <w:ind w:firstLine="640" w:firstLineChars="200"/>
        <w:rPr>
          <w:sz w:val="32"/>
          <w:szCs w:val="32"/>
        </w:rPr>
      </w:pPr>
      <w:r>
        <w:rPr>
          <w:rFonts w:hint="eastAsia" w:ascii="宋体" w:hAnsi="宋体" w:eastAsia="仿宋_GB2312"/>
          <w:sz w:val="32"/>
          <w:szCs w:val="32"/>
        </w:rPr>
        <w:t>在保留经实践检验依然适用的内容基础上，紧跟当前危化品安全生产新形势和安全监管“一防四提升”新要求，调整框架结构、条款内容、评审要求等，兼顾标准的实用性和创新性。</w:t>
      </w:r>
    </w:p>
    <w:p w14:paraId="06EF6388">
      <w:pPr>
        <w:spacing w:line="560" w:lineRule="exact"/>
        <w:ind w:firstLine="643" w:firstLineChars="200"/>
        <w:jc w:val="left"/>
        <w:rPr>
          <w:rFonts w:hint="eastAsia" w:ascii="宋体" w:hAnsi="宋体" w:eastAsia="仿宋_GB2312" w:cs="仿宋_GB2312"/>
          <w:b/>
          <w:bCs/>
          <w:sz w:val="32"/>
          <w:szCs w:val="32"/>
        </w:rPr>
      </w:pPr>
      <w:r>
        <w:rPr>
          <w:rFonts w:hint="eastAsia" w:ascii="宋体" w:hAnsi="宋体" w:eastAsia="仿宋_GB2312" w:cs="仿宋_GB2312"/>
          <w:b/>
          <w:bCs/>
          <w:sz w:val="32"/>
          <w:szCs w:val="32"/>
        </w:rPr>
        <w:t>4.广泛参与原则</w:t>
      </w:r>
    </w:p>
    <w:p w14:paraId="68909650">
      <w:pPr>
        <w:spacing w:line="560" w:lineRule="exact"/>
        <w:ind w:firstLine="640" w:firstLineChars="200"/>
        <w:jc w:val="left"/>
        <w:rPr>
          <w:sz w:val="32"/>
          <w:szCs w:val="32"/>
        </w:rPr>
      </w:pPr>
      <w:r>
        <w:rPr>
          <w:rFonts w:hint="eastAsia" w:ascii="宋体" w:hAnsi="宋体" w:eastAsia="仿宋_GB2312"/>
          <w:sz w:val="32"/>
          <w:szCs w:val="32"/>
        </w:rPr>
        <w:t>广泛征求行业内生产经营单位、有关协会、研究机构相关专家以及应急管理部门监管人员的意见，确保了本标准的实用性。</w:t>
      </w:r>
    </w:p>
    <w:p w14:paraId="0B90C393">
      <w:pPr>
        <w:spacing w:line="560" w:lineRule="exact"/>
        <w:ind w:firstLine="643" w:firstLineChars="200"/>
        <w:jc w:val="left"/>
        <w:rPr>
          <w:rFonts w:hint="eastAsia" w:ascii="宋体" w:hAnsi="宋体" w:eastAsia="仿宋_GB2312" w:cs="仿宋_GB2312"/>
          <w:b/>
          <w:bCs/>
          <w:sz w:val="32"/>
          <w:szCs w:val="32"/>
        </w:rPr>
      </w:pPr>
      <w:r>
        <w:rPr>
          <w:rFonts w:hint="eastAsia" w:ascii="宋体" w:hAnsi="宋体" w:eastAsia="仿宋_GB2312" w:cs="仿宋_GB2312"/>
          <w:b/>
          <w:bCs/>
          <w:sz w:val="32"/>
          <w:szCs w:val="32"/>
        </w:rPr>
        <w:t>5.协调性原则</w:t>
      </w:r>
    </w:p>
    <w:p w14:paraId="3DEAD6D6">
      <w:pPr>
        <w:spacing w:line="560" w:lineRule="exact"/>
        <w:ind w:firstLine="640" w:firstLineChars="200"/>
        <w:jc w:val="left"/>
        <w:rPr>
          <w:sz w:val="32"/>
          <w:szCs w:val="32"/>
        </w:rPr>
      </w:pPr>
      <w:r>
        <w:rPr>
          <w:rFonts w:hint="eastAsia" w:ascii="宋体" w:hAnsi="宋体" w:eastAsia="仿宋_GB2312"/>
          <w:sz w:val="32"/>
          <w:szCs w:val="32"/>
        </w:rPr>
        <w:t>本标准</w:t>
      </w:r>
      <w:r>
        <w:rPr>
          <w:rFonts w:hint="eastAsia" w:ascii="宋体" w:hAnsi="宋体" w:eastAsia="仿宋_GB2312"/>
          <w:sz w:val="32"/>
          <w:szCs w:val="32"/>
          <w:lang w:val="en"/>
        </w:rPr>
        <w:t>是以原有的</w:t>
      </w:r>
      <w:r>
        <w:rPr>
          <w:rFonts w:hint="eastAsia" w:ascii="宋体" w:hAnsi="宋体" w:eastAsia="仿宋_GB2312"/>
          <w:sz w:val="32"/>
          <w:szCs w:val="32"/>
        </w:rPr>
        <w:t>7项安全行业标准为基础，结合近年来安全生产新形势、新规定、新要求，进行的整合修订替代，符合《中华人民共和国安全生产法》《危险化学品安全管理条例》等现行法律、法规所规定的内容，与其他现行国家标准和行业标准整体协调、衔接和配套。</w:t>
      </w:r>
    </w:p>
    <w:p w14:paraId="5BE3B217">
      <w:pPr>
        <w:spacing w:line="560" w:lineRule="exact"/>
        <w:ind w:firstLine="643"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（二）标准主要技术内容及确定依据</w:t>
      </w:r>
    </w:p>
    <w:p w14:paraId="254C5348">
      <w:pPr>
        <w:spacing w:line="560" w:lineRule="exact"/>
        <w:ind w:firstLine="643" w:firstLineChars="200"/>
        <w:jc w:val="left"/>
        <w:rPr>
          <w:rFonts w:hint="eastAsia" w:ascii="宋体" w:hAnsi="宋体" w:eastAsia="仿宋_GB2312" w:cs="仿宋_GB2312"/>
          <w:b/>
          <w:bCs/>
          <w:sz w:val="32"/>
          <w:szCs w:val="32"/>
        </w:rPr>
      </w:pPr>
      <w:bookmarkStart w:id="1681" w:name="OLE_LINK8"/>
      <w:r>
        <w:rPr>
          <w:rFonts w:hint="eastAsia" w:ascii="宋体" w:hAnsi="宋体" w:eastAsia="仿宋_GB2312" w:cs="仿宋_GB2312"/>
          <w:b/>
          <w:bCs/>
          <w:sz w:val="32"/>
          <w:szCs w:val="32"/>
        </w:rPr>
        <w:t>1.标准名称</w:t>
      </w:r>
    </w:p>
    <w:p w14:paraId="0B3CC44E">
      <w:pPr>
        <w:spacing w:line="560" w:lineRule="exact"/>
        <w:ind w:firstLine="640" w:firstLineChars="200"/>
        <w:rPr>
          <w:kern w:val="10"/>
          <w:sz w:val="32"/>
          <w:szCs w:val="32"/>
        </w:rPr>
      </w:pPr>
      <w:r>
        <w:rPr>
          <w:rFonts w:hint="eastAsia" w:ascii="宋体" w:hAnsi="宋体" w:eastAsia="仿宋_GB2312"/>
          <w:sz w:val="32"/>
          <w:szCs w:val="32"/>
        </w:rPr>
        <w:t>本标准整合了《危险化学品从业单位安全标准化通用规范》（AQ 3013-2008）</w:t>
      </w:r>
      <w:r>
        <w:rPr>
          <w:rFonts w:ascii="宋体" w:hAnsi="宋体" w:eastAsia="仿宋_GB2312"/>
          <w:sz w:val="32"/>
          <w:szCs w:val="32"/>
        </w:rPr>
        <w:t>、</w:t>
      </w:r>
      <w:r>
        <w:rPr>
          <w:rFonts w:hint="eastAsia" w:ascii="宋体" w:hAnsi="宋体" w:eastAsia="仿宋_GB2312"/>
          <w:sz w:val="32"/>
          <w:szCs w:val="32"/>
        </w:rPr>
        <w:t>《硫酸生产企业安全生产标准化实施指南》（AQ 3037-2010）等</w:t>
      </w:r>
      <w:r>
        <w:rPr>
          <w:rFonts w:ascii="宋体" w:hAnsi="宋体" w:eastAsia="仿宋_GB2312"/>
          <w:sz w:val="32"/>
          <w:szCs w:val="32"/>
        </w:rPr>
        <w:t>7项</w:t>
      </w:r>
      <w:r>
        <w:rPr>
          <w:rFonts w:hint="eastAsia" w:ascii="宋体" w:hAnsi="宋体" w:eastAsia="仿宋_GB2312"/>
          <w:sz w:val="32"/>
          <w:szCs w:val="32"/>
        </w:rPr>
        <w:t>行业标准，为提升危险化学品企业的本质安全水平，有效防范重大安全风险，标准中增加了双重预防机制建设、异常工况处置、设备完好性管理等管理要求，名称确定为《危险化学品企业安全生产标准化通用规范》。</w:t>
      </w:r>
    </w:p>
    <w:p w14:paraId="1D115623">
      <w:pPr>
        <w:spacing w:line="560" w:lineRule="exact"/>
        <w:ind w:firstLine="643" w:firstLineChars="200"/>
        <w:jc w:val="left"/>
        <w:rPr>
          <w:rFonts w:hint="eastAsia" w:ascii="宋体" w:hAnsi="宋体" w:eastAsia="仿宋_GB2312" w:cs="仿宋_GB2312"/>
          <w:b/>
          <w:bCs/>
          <w:sz w:val="32"/>
          <w:szCs w:val="32"/>
        </w:rPr>
      </w:pPr>
      <w:r>
        <w:rPr>
          <w:rFonts w:hint="eastAsia" w:ascii="宋体" w:hAnsi="宋体" w:eastAsia="仿宋_GB2312" w:cs="仿宋_GB2312"/>
          <w:b/>
          <w:bCs/>
          <w:sz w:val="32"/>
          <w:szCs w:val="32"/>
        </w:rPr>
        <w:t>2.适用范围</w:t>
      </w:r>
    </w:p>
    <w:p w14:paraId="771D1080">
      <w:pPr>
        <w:spacing w:line="560" w:lineRule="exact"/>
        <w:ind w:firstLine="640" w:firstLineChars="200"/>
        <w:rPr>
          <w:kern w:val="10"/>
          <w:sz w:val="32"/>
          <w:szCs w:val="32"/>
        </w:rPr>
      </w:pPr>
      <w:r>
        <w:rPr>
          <w:rFonts w:hint="eastAsia" w:ascii="宋体" w:hAnsi="宋体" w:eastAsia="仿宋_GB2312"/>
          <w:sz w:val="32"/>
          <w:szCs w:val="32"/>
        </w:rPr>
        <w:t>本标准适用于危险化学品生产企业、使用危险化学品从事生产的化工企业，以及储存危险化学品经营的企业，其他化工企业可参照执行。</w:t>
      </w:r>
    </w:p>
    <w:p w14:paraId="105E19E1">
      <w:pPr>
        <w:spacing w:line="560" w:lineRule="exact"/>
        <w:ind w:firstLine="643" w:firstLineChars="200"/>
        <w:jc w:val="left"/>
        <w:rPr>
          <w:rFonts w:hint="eastAsia" w:ascii="宋体" w:hAnsi="宋体" w:eastAsia="仿宋_GB2312" w:cs="仿宋_GB2312"/>
          <w:b/>
          <w:bCs/>
          <w:sz w:val="32"/>
          <w:szCs w:val="32"/>
        </w:rPr>
      </w:pPr>
      <w:r>
        <w:rPr>
          <w:rFonts w:hint="eastAsia" w:ascii="宋体" w:hAnsi="宋体" w:eastAsia="仿宋_GB2312" w:cs="仿宋_GB2312"/>
          <w:b/>
          <w:bCs/>
          <w:sz w:val="32"/>
          <w:szCs w:val="32"/>
        </w:rPr>
        <w:t>3.规范性引用文件</w:t>
      </w:r>
    </w:p>
    <w:p w14:paraId="1BC0BCDF">
      <w:pPr>
        <w:spacing w:line="560" w:lineRule="exact"/>
        <w:ind w:firstLine="640" w:firstLineChars="200"/>
        <w:rPr>
          <w:kern w:val="10"/>
          <w:sz w:val="32"/>
          <w:szCs w:val="32"/>
        </w:rPr>
      </w:pPr>
      <w:r>
        <w:rPr>
          <w:rFonts w:hint="eastAsia" w:ascii="宋体" w:hAnsi="宋体" w:eastAsia="仿宋_GB2312"/>
          <w:sz w:val="32"/>
          <w:szCs w:val="32"/>
        </w:rPr>
        <w:t>本标准共引用GB 2894《安全标志及其使用导则》、GB 15258《化学品安全标签编写规定》、GB 15603《危险化学品仓库储存通则》、GB 18218《危险化学品重大危险源辨识》、GB 50160《石油化工企业设计防火标准》、GB/T 16483《化学品安全技术说明书内容和项目顺序》等17个现行标准文件。</w:t>
      </w:r>
    </w:p>
    <w:p w14:paraId="4EDBEF47">
      <w:pPr>
        <w:spacing w:line="560" w:lineRule="exact"/>
        <w:ind w:firstLine="643" w:firstLineChars="200"/>
        <w:jc w:val="left"/>
        <w:rPr>
          <w:rFonts w:hint="eastAsia" w:ascii="宋体" w:hAnsi="宋体" w:eastAsia="仿宋_GB2312" w:cs="仿宋_GB2312"/>
          <w:b/>
          <w:bCs/>
          <w:sz w:val="32"/>
          <w:szCs w:val="32"/>
        </w:rPr>
      </w:pPr>
      <w:r>
        <w:rPr>
          <w:rFonts w:hint="eastAsia" w:ascii="宋体" w:hAnsi="宋体" w:eastAsia="仿宋_GB2312" w:cs="仿宋_GB2312"/>
          <w:b/>
          <w:bCs/>
          <w:sz w:val="32"/>
          <w:szCs w:val="32"/>
        </w:rPr>
        <w:t>4.术语和定义</w:t>
      </w:r>
    </w:p>
    <w:p w14:paraId="0818B3FB">
      <w:pPr>
        <w:spacing w:line="560" w:lineRule="exact"/>
        <w:ind w:firstLine="640" w:firstLineChars="200"/>
        <w:rPr>
          <w:kern w:val="10"/>
          <w:sz w:val="32"/>
          <w:szCs w:val="32"/>
        </w:rPr>
      </w:pPr>
      <w:r>
        <w:rPr>
          <w:rFonts w:hint="eastAsia" w:ascii="宋体" w:hAnsi="宋体" w:eastAsia="仿宋_GB2312"/>
          <w:sz w:val="32"/>
          <w:szCs w:val="32"/>
        </w:rPr>
        <w:t>为方便标准文本技术要求理解，设置了安全领导力、承包商、资源、危险有害因素、危险有害因素识别等5个术语和定义。</w:t>
      </w:r>
    </w:p>
    <w:p w14:paraId="3213E73D">
      <w:pPr>
        <w:spacing w:line="560" w:lineRule="exact"/>
        <w:ind w:firstLine="643" w:firstLineChars="200"/>
        <w:jc w:val="left"/>
        <w:rPr>
          <w:rFonts w:hint="eastAsia" w:ascii="宋体" w:hAnsi="宋体" w:eastAsia="仿宋_GB2312" w:cs="仿宋_GB2312"/>
          <w:b/>
          <w:bCs/>
          <w:sz w:val="32"/>
          <w:szCs w:val="32"/>
        </w:rPr>
      </w:pPr>
      <w:r>
        <w:rPr>
          <w:rFonts w:hint="eastAsia" w:ascii="宋体" w:hAnsi="宋体" w:eastAsia="仿宋_GB2312" w:cs="仿宋_GB2312"/>
          <w:b/>
          <w:bCs/>
          <w:sz w:val="32"/>
          <w:szCs w:val="32"/>
        </w:rPr>
        <w:t>5.一般要求</w:t>
      </w:r>
    </w:p>
    <w:p w14:paraId="7D78684C">
      <w:pPr>
        <w:spacing w:line="560" w:lineRule="exact"/>
        <w:ind w:firstLine="640" w:firstLineChars="200"/>
        <w:rPr>
          <w:kern w:val="10"/>
          <w:sz w:val="32"/>
          <w:szCs w:val="32"/>
        </w:rPr>
      </w:pPr>
      <w:r>
        <w:rPr>
          <w:rFonts w:hint="eastAsia" w:ascii="宋体" w:hAnsi="宋体" w:eastAsia="仿宋_GB2312"/>
          <w:sz w:val="32"/>
          <w:szCs w:val="32"/>
        </w:rPr>
        <w:t>（1）规定了安全生产标准化建设的总体原则：坚持“安全第一、预防为主、综合治理”的安全生产方针，构建安全风险双重预防机制，树立任何事故都可以预防的理念，采用计划（P）、实施（D）、检查（C）、改进（A）的PDCA动态循环和持续改进的管理模式，开展安全生产标准化建设，持续改进安全管理绩效，建立安全生产长效机制；（2）规定了安全生产标准化的创建过程：诊断、策划、培训、实施、自评、改进等6个阶段。</w:t>
      </w:r>
    </w:p>
    <w:p w14:paraId="3000169B">
      <w:pPr>
        <w:spacing w:line="560" w:lineRule="exact"/>
        <w:ind w:firstLine="643" w:firstLineChars="200"/>
        <w:rPr>
          <w:rFonts w:hint="eastAsia" w:ascii="宋体" w:hAnsi="宋体" w:eastAsia="仿宋_GB2312" w:cs="仿宋_GB2312"/>
          <w:b/>
          <w:bCs/>
          <w:sz w:val="32"/>
          <w:szCs w:val="32"/>
        </w:rPr>
      </w:pPr>
      <w:r>
        <w:rPr>
          <w:rFonts w:hint="eastAsia" w:ascii="宋体" w:hAnsi="宋体" w:eastAsia="仿宋_GB2312" w:cs="仿宋_GB2312"/>
          <w:b/>
          <w:bCs/>
          <w:sz w:val="32"/>
          <w:szCs w:val="32"/>
        </w:rPr>
        <w:t>6.核心要素</w:t>
      </w:r>
    </w:p>
    <w:p w14:paraId="03F74334">
      <w:pPr>
        <w:spacing w:line="560" w:lineRule="exact"/>
        <w:ind w:firstLine="640" w:firstLineChars="200"/>
        <w:rPr>
          <w:kern w:val="10"/>
          <w:sz w:val="32"/>
          <w:szCs w:val="32"/>
        </w:rPr>
      </w:pPr>
      <w:r>
        <w:rPr>
          <w:rFonts w:hint="eastAsia" w:ascii="宋体" w:hAnsi="宋体" w:eastAsia="仿宋_GB2312"/>
          <w:sz w:val="32"/>
          <w:szCs w:val="32"/>
        </w:rPr>
        <w:t>本标准以危险化学品过程安全管理理念为基础，以安全风险管理为核心，规定了危险化学品企业开展安全生产标准化的原则、过程和要求。主要核心要素包括：安全领导力；安全生产责任制；安全生产信息与合规管理；安全教育、培训与能力建设；安全风险管理与双重预防机制建设；操作安全；设备完好性管理；作业安全；承包商（相关方）管理；化学品安全、重大危险源和高后果安全风险事件管理；变更管理；应急准备与响应；安全事故事件调查与管理；自评与改进等14个A级要素63个B级要素。</w:t>
      </w:r>
    </w:p>
    <w:bookmarkEnd w:id="1681"/>
    <w:p w14:paraId="2057BE39">
      <w:pPr>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三、与有关法律、行政法规和其他强制性标准的关系，配套推荐性标准的制定情况</w:t>
      </w:r>
    </w:p>
    <w:p w14:paraId="1A11CECC">
      <w:pPr>
        <w:spacing w:line="560" w:lineRule="exact"/>
        <w:ind w:firstLine="583" w:firstLineChars="200"/>
        <w:jc w:val="left"/>
        <w:rPr>
          <w:rFonts w:hint="eastAsia" w:ascii="楷体_GB2312" w:hAnsi="楷体_GB2312" w:eastAsia="楷体_GB2312" w:cs="楷体_GB2312"/>
          <w:b/>
          <w:bCs/>
          <w:spacing w:val="-15"/>
          <w:sz w:val="32"/>
          <w:szCs w:val="32"/>
        </w:rPr>
      </w:pPr>
      <w:r>
        <w:rPr>
          <w:rFonts w:hint="eastAsia" w:ascii="楷体_GB2312" w:hAnsi="楷体_GB2312" w:eastAsia="楷体_GB2312" w:cs="楷体_GB2312"/>
          <w:b/>
          <w:bCs/>
          <w:spacing w:val="-15"/>
          <w:sz w:val="32"/>
          <w:szCs w:val="32"/>
        </w:rPr>
        <w:t>（一）与有关法律、行政法规和其他强制性标准的关系</w:t>
      </w:r>
    </w:p>
    <w:p w14:paraId="5F8A6FD6">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中华人民共和国安全生产法》第四条规定了“生产经营单位必须遵守本法和其他有关安全生产的法律、法规，加强安全生产管理，建立健全全员安全生产责任制和安全生产规章制度，加大对安全生产资金、物资、技术、人员的投入保障力度，改善安全生产条件，</w:t>
      </w:r>
      <w:r>
        <w:rPr>
          <w:rFonts w:hint="eastAsia"/>
          <w:b/>
          <w:bCs/>
          <w:sz w:val="32"/>
          <w:szCs w:val="32"/>
        </w:rPr>
        <w:t>加强安全生产标准化</w:t>
      </w:r>
      <w:r>
        <w:rPr>
          <w:rFonts w:hint="eastAsia" w:ascii="宋体" w:hAnsi="宋体" w:eastAsia="仿宋_GB2312"/>
          <w:sz w:val="32"/>
          <w:szCs w:val="32"/>
        </w:rPr>
        <w:t>、信息化建设，构建安全风险分级管控和隐患排查治理双重预防机制，健全安全风险防范化解机制，提高安全生产水平，确保安全生产。”；第二十一条规定了“建立健全并落实本单位全员安全生产责任制，加强安全生产标准化建设”是生产经营单位的主要负责人</w:t>
      </w:r>
      <w:r>
        <w:rPr>
          <w:rFonts w:ascii="宋体" w:hAnsi="宋体" w:eastAsia="仿宋_GB2312"/>
          <w:sz w:val="32"/>
          <w:szCs w:val="32"/>
        </w:rPr>
        <w:t>法定的</w:t>
      </w:r>
      <w:r>
        <w:rPr>
          <w:rFonts w:hint="eastAsia" w:ascii="宋体" w:hAnsi="宋体" w:eastAsia="仿宋_GB2312"/>
          <w:sz w:val="32"/>
          <w:szCs w:val="32"/>
        </w:rPr>
        <w:t>安全生产职责之一。本标准明确了危险化学品企业开展安全生产标准化建设的原则和要求，与有关的现行法律、法规和强制性国家标准没有冲突。</w:t>
      </w:r>
    </w:p>
    <w:p w14:paraId="6991675D">
      <w:pPr>
        <w:spacing w:line="560" w:lineRule="exact"/>
        <w:ind w:firstLine="583" w:firstLineChars="200"/>
        <w:jc w:val="left"/>
        <w:rPr>
          <w:rFonts w:hint="eastAsia" w:ascii="楷体_GB2312" w:hAnsi="楷体_GB2312" w:eastAsia="楷体_GB2312" w:cs="楷体_GB2312"/>
          <w:b/>
          <w:bCs/>
          <w:spacing w:val="-15"/>
          <w:sz w:val="32"/>
          <w:szCs w:val="32"/>
        </w:rPr>
      </w:pPr>
      <w:r>
        <w:rPr>
          <w:rFonts w:hint="eastAsia" w:ascii="楷体_GB2312" w:hAnsi="楷体_GB2312" w:eastAsia="楷体_GB2312" w:cs="楷体_GB2312"/>
          <w:b/>
          <w:bCs/>
          <w:spacing w:val="-15"/>
          <w:sz w:val="32"/>
          <w:szCs w:val="32"/>
        </w:rPr>
        <w:t>（二）配套推荐性标准的制定情况</w:t>
      </w:r>
    </w:p>
    <w:p w14:paraId="1A9A8D2F">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无配套的推荐性标准制定计划。</w:t>
      </w:r>
    </w:p>
    <w:p w14:paraId="12FADD16">
      <w:pPr>
        <w:spacing w:line="560" w:lineRule="exact"/>
        <w:ind w:firstLine="640" w:firstLineChars="200"/>
        <w:jc w:val="left"/>
        <w:rPr>
          <w:rFonts w:hint="eastAsia" w:ascii="黑体" w:hAnsi="黑体" w:eastAsia="黑体"/>
          <w:sz w:val="32"/>
          <w:szCs w:val="32"/>
        </w:rPr>
      </w:pPr>
      <w:r>
        <w:rPr>
          <w:rFonts w:hint="eastAsia" w:ascii="黑体" w:hAnsi="黑体" w:eastAsia="黑体"/>
          <w:color w:val="000000"/>
          <w:sz w:val="32"/>
          <w:szCs w:val="32"/>
        </w:rPr>
        <w:t>四、与国际标准化组织、其他国家或者地区有关法律法规和标准</w:t>
      </w:r>
      <w:r>
        <w:rPr>
          <w:rFonts w:hint="eastAsia" w:ascii="黑体" w:hAnsi="黑体" w:eastAsia="黑体"/>
          <w:sz w:val="32"/>
          <w:szCs w:val="32"/>
        </w:rPr>
        <w:t>的比对分析</w:t>
      </w:r>
    </w:p>
    <w:p w14:paraId="5DAD7D40">
      <w:pPr>
        <w:spacing w:line="560" w:lineRule="exact"/>
        <w:ind w:firstLine="640" w:firstLineChars="200"/>
        <w:rPr>
          <w:rFonts w:hint="eastAsia" w:ascii="宋体" w:hAnsi="宋体" w:eastAsia="仿宋_GB2312"/>
          <w:sz w:val="32"/>
          <w:szCs w:val="32"/>
        </w:rPr>
      </w:pPr>
      <w:bookmarkStart w:id="1682" w:name="OLE_LINK7"/>
      <w:r>
        <w:rPr>
          <w:rFonts w:hint="eastAsia" w:ascii="宋体" w:hAnsi="宋体" w:eastAsia="仿宋_GB2312"/>
          <w:sz w:val="32"/>
          <w:szCs w:val="32"/>
        </w:rPr>
        <w:t>在国际标准和国外标准体系中，没有针对危险化学品企业安全生产标准化的技术标准与规范，现有其他国家化工企业都构建了较为完善的职业健康安全管理体系，在企业自身的安全文化建设、工程安全领域，围绕职工的安全健康方向设定了系统化管理要求。</w:t>
      </w:r>
    </w:p>
    <w:bookmarkEnd w:id="1682"/>
    <w:p w14:paraId="1C868A3F">
      <w:pPr>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五、重大分歧意见的处理过程、处理意见及其依据</w:t>
      </w:r>
    </w:p>
    <w:p w14:paraId="724A259E">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无。</w:t>
      </w:r>
    </w:p>
    <w:p w14:paraId="25DB4850">
      <w:pPr>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六、对强制性国家标准自发布日期至实施日期之间的过渡期（以下简称过渡期）的建议及理由</w:t>
      </w:r>
    </w:p>
    <w:p w14:paraId="6BBD920A">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本标准整合《危险化学品从业单位安全生产标准化通用规范》（AQ 3013-2008）、《硫酸生产企业安全生产标准化实施指南》（AQ 3037-2010）等7</w:t>
      </w:r>
      <w:r>
        <w:rPr>
          <w:rFonts w:ascii="宋体" w:hAnsi="宋体" w:eastAsia="仿宋_GB2312"/>
          <w:sz w:val="32"/>
          <w:szCs w:val="32"/>
        </w:rPr>
        <w:t>项</w:t>
      </w:r>
      <w:r>
        <w:rPr>
          <w:rFonts w:hint="eastAsia" w:ascii="宋体" w:hAnsi="宋体" w:eastAsia="仿宋_GB2312"/>
          <w:sz w:val="32"/>
          <w:szCs w:val="32"/>
        </w:rPr>
        <w:t>标准，新标准中新增了安全领导力</w:t>
      </w:r>
      <w:r>
        <w:rPr>
          <w:rFonts w:ascii="宋体" w:hAnsi="宋体" w:eastAsia="仿宋_GB2312"/>
          <w:sz w:val="32"/>
          <w:szCs w:val="32"/>
        </w:rPr>
        <w:t>、</w:t>
      </w:r>
      <w:r>
        <w:rPr>
          <w:rFonts w:hint="eastAsia" w:ascii="宋体" w:hAnsi="宋体" w:eastAsia="仿宋_GB2312"/>
          <w:sz w:val="32"/>
          <w:szCs w:val="32"/>
        </w:rPr>
        <w:t>安全生产责任制</w:t>
      </w:r>
      <w:r>
        <w:rPr>
          <w:rFonts w:ascii="宋体" w:hAnsi="宋体" w:eastAsia="仿宋_GB2312"/>
          <w:sz w:val="32"/>
          <w:szCs w:val="32"/>
        </w:rPr>
        <w:t>、</w:t>
      </w:r>
      <w:r>
        <w:rPr>
          <w:rFonts w:hint="eastAsia" w:ascii="宋体" w:hAnsi="宋体" w:eastAsia="仿宋_GB2312"/>
          <w:sz w:val="32"/>
          <w:szCs w:val="32"/>
        </w:rPr>
        <w:t>安全生产信息与合规管理</w:t>
      </w:r>
      <w:r>
        <w:rPr>
          <w:rFonts w:ascii="宋体" w:hAnsi="宋体" w:eastAsia="仿宋_GB2312"/>
          <w:sz w:val="32"/>
          <w:szCs w:val="32"/>
        </w:rPr>
        <w:t>、</w:t>
      </w:r>
      <w:r>
        <w:rPr>
          <w:rFonts w:hint="eastAsia" w:ascii="宋体" w:hAnsi="宋体" w:eastAsia="仿宋_GB2312"/>
          <w:sz w:val="32"/>
          <w:szCs w:val="32"/>
        </w:rPr>
        <w:t>双重预防机制建设</w:t>
      </w:r>
      <w:r>
        <w:rPr>
          <w:rFonts w:ascii="宋体" w:hAnsi="宋体" w:eastAsia="仿宋_GB2312"/>
          <w:sz w:val="32"/>
          <w:szCs w:val="32"/>
        </w:rPr>
        <w:t>、</w:t>
      </w:r>
      <w:r>
        <w:rPr>
          <w:rFonts w:hint="eastAsia" w:ascii="宋体" w:hAnsi="宋体" w:eastAsia="仿宋_GB2312"/>
          <w:sz w:val="32"/>
          <w:szCs w:val="32"/>
        </w:rPr>
        <w:t>设备完好性管理</w:t>
      </w:r>
      <w:r>
        <w:rPr>
          <w:rFonts w:ascii="宋体" w:hAnsi="宋体" w:eastAsia="仿宋_GB2312"/>
          <w:sz w:val="32"/>
          <w:szCs w:val="32"/>
        </w:rPr>
        <w:t>、</w:t>
      </w:r>
      <w:r>
        <w:rPr>
          <w:rFonts w:hint="eastAsia" w:ascii="宋体" w:hAnsi="宋体" w:eastAsia="仿宋_GB2312"/>
          <w:sz w:val="32"/>
          <w:szCs w:val="32"/>
        </w:rPr>
        <w:t>变更管理</w:t>
      </w:r>
      <w:r>
        <w:rPr>
          <w:rFonts w:ascii="宋体" w:hAnsi="宋体" w:eastAsia="仿宋_GB2312"/>
          <w:sz w:val="32"/>
          <w:szCs w:val="32"/>
        </w:rPr>
        <w:t>、</w:t>
      </w:r>
      <w:r>
        <w:rPr>
          <w:rFonts w:hint="eastAsia" w:ascii="宋体" w:hAnsi="宋体" w:eastAsia="仿宋_GB2312"/>
          <w:sz w:val="32"/>
          <w:szCs w:val="32"/>
        </w:rPr>
        <w:t>应急准备与响应等管理要素，更为明确提出安全生产标准化的实施要求，目前危险化学品企业安全生产标准化建设具有一定基础，新增内容要求不会增加企业过多成本投入。另外在规范未发布实施前，由标准编写组完成标准宣贯材料的编制，在应急管理部统一组织下开展宣贯培训，相关企业完成标准的学习，能够按照新标准有关要求逐项实施。因此，建议本标准实施过渡期为6个月。</w:t>
      </w:r>
    </w:p>
    <w:p w14:paraId="70C0F38E">
      <w:pPr>
        <w:spacing w:line="560" w:lineRule="exact"/>
        <w:ind w:firstLine="640" w:firstLineChars="200"/>
        <w:jc w:val="left"/>
        <w:rPr>
          <w:spacing w:val="-15"/>
          <w:sz w:val="32"/>
          <w:szCs w:val="32"/>
        </w:rPr>
      </w:pPr>
      <w:r>
        <w:rPr>
          <w:rFonts w:hint="eastAsia" w:ascii="黑体" w:hAnsi="黑体" w:eastAsia="黑体"/>
          <w:color w:val="000000"/>
          <w:sz w:val="32"/>
          <w:szCs w:val="32"/>
        </w:rPr>
        <w:t>七、与实施强制性国家标准有关的政策措施</w:t>
      </w:r>
    </w:p>
    <w:p w14:paraId="62FEE500">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本标准的实施监督部门为应急管理部。</w:t>
      </w:r>
    </w:p>
    <w:p w14:paraId="114963BD">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对于违反强制性国家标准的行为，相关实施监督部门可依据《中华人民共和国安全生产法》作为违反标准行为进行处理的法律法规规章依据。具体条款如下：</w:t>
      </w:r>
    </w:p>
    <w:p w14:paraId="19BCCE87">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《中华人民共和国安全生产法》第四十一条 生产经营单位应当建立安全风险分级管控制度，按照安全风险分级采取相应的管控措施。</w:t>
      </w:r>
    </w:p>
    <w:p w14:paraId="3F9F52FA">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0E861792">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第四十四条  生产经营单位应当教育和督促从业人员严格执行本单位的安全生产规章制度和安全操作规程；并向从业人员如实告知作业场所和工作岗位存在的危险因素、防范措施以及事故应急措施。</w:t>
      </w:r>
    </w:p>
    <w:p w14:paraId="3811D28A">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二）对重大危险源未登记建档，未进行定期检测、评估、监控，未制定应急预案，或者未告知应急措施的；（三）进行爆破、吊装、动火、临时用电以及国务院应急管理部门会同国务院有关部门规定的其他危险作业，未安排专门人员进行现场安全管理的；（四）未建立安全风险分级管控制度或者未按照安全风险分级采取相应管控措施的；（五）未建立事故隐患排查治理制度，或者重大事故隐患排查治理情况未按照规定报告的。</w:t>
      </w:r>
    </w:p>
    <w:p w14:paraId="3EDC92B5">
      <w:pPr>
        <w:spacing w:line="560" w:lineRule="exact"/>
        <w:ind w:firstLine="640" w:firstLineChars="200"/>
        <w:jc w:val="left"/>
        <w:rPr>
          <w:rFonts w:hint="eastAsia" w:ascii="黑体" w:hAnsi="黑体" w:eastAsia="黑体"/>
          <w:sz w:val="32"/>
          <w:szCs w:val="32"/>
        </w:rPr>
      </w:pPr>
      <w:r>
        <w:rPr>
          <w:rFonts w:hint="eastAsia" w:ascii="黑体" w:hAnsi="黑体" w:eastAsia="黑体"/>
          <w:color w:val="000000"/>
          <w:sz w:val="32"/>
          <w:szCs w:val="32"/>
        </w:rPr>
        <w:t>八、是</w:t>
      </w:r>
      <w:r>
        <w:rPr>
          <w:rFonts w:hint="eastAsia" w:ascii="黑体" w:hAnsi="黑体" w:eastAsia="黑体"/>
          <w:sz w:val="32"/>
          <w:szCs w:val="32"/>
        </w:rPr>
        <w:t>否需要对外通报的建议及理由</w:t>
      </w:r>
    </w:p>
    <w:p w14:paraId="56E21C75">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本标准适用于危险化学品企业的安全管理，不涉及对外贸易，不需要对外通报。</w:t>
      </w:r>
    </w:p>
    <w:p w14:paraId="7EFD5C8A">
      <w:pPr>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九、废止现行有关标准的建议</w:t>
      </w:r>
    </w:p>
    <w:p w14:paraId="509470A0">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2020年应急管理部制定了《强制性标准整合工作方案》，明确要求将危险化学品企业安全生产标准化有关标准整合为强制性国家标准，本标准整合了《危险化学品从业单位安全标准化通用规范》（AQ 3013-2008）以及《硫酸生产企业安全生产标准化实施指南》（AQ 3037-2010）、《电石生产企业安全生产标准化实施指南》（AQ 3038-2010）、《溶解乙炔生产企业安全生产标准化实施指南》（AQ 3039-2010）、《涂料生产企业安全生产标准化实施指南》（AQ 3040-2010）、《氯碱生产企业安全标准化实施指南》（AQ/T 3016-2008）、《合成氨生产企业安全标准化实施指南》(AQ/T 3017-2008)等行业标准，待该国家标准发布实施后，建议废止AQ 3013-2008、AQ 3037-2010等7项行业标准。</w:t>
      </w:r>
    </w:p>
    <w:p w14:paraId="3A6A7A3C">
      <w:pPr>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十、涉及专利的有关说明</w:t>
      </w:r>
    </w:p>
    <w:p w14:paraId="0358C0C6">
      <w:pPr>
        <w:spacing w:line="560" w:lineRule="exact"/>
        <w:ind w:firstLine="640" w:firstLineChars="200"/>
        <w:rPr>
          <w:rFonts w:hint="eastAsia" w:ascii="宋体" w:hAnsi="宋体" w:eastAsia="仿宋_GB2312"/>
          <w:sz w:val="32"/>
          <w:szCs w:val="32"/>
        </w:rPr>
      </w:pPr>
      <w:r>
        <w:rPr>
          <w:rFonts w:hint="eastAsia" w:ascii="宋体" w:hAnsi="宋体" w:eastAsia="仿宋_GB2312"/>
          <w:sz w:val="32"/>
          <w:szCs w:val="32"/>
        </w:rPr>
        <w:t>本标准不涉及专利。</w:t>
      </w:r>
    </w:p>
    <w:p w14:paraId="07DA0FAB">
      <w:pPr>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十一、强制性国家标准所涉及的产品、过程或者服务目录</w:t>
      </w:r>
    </w:p>
    <w:p w14:paraId="1FA8D788">
      <w:pPr>
        <w:pStyle w:val="17"/>
        <w:spacing w:line="560" w:lineRule="exact"/>
        <w:ind w:firstLine="640" w:firstLineChars="200"/>
        <w:rPr>
          <w:rFonts w:hint="eastAsia" w:eastAsia="仿宋_GB2312" w:cs="Times New Roman"/>
          <w:sz w:val="32"/>
          <w:szCs w:val="32"/>
          <w:lang w:val="en-US" w:bidi="ar-SA"/>
        </w:rPr>
      </w:pPr>
      <w:r>
        <w:rPr>
          <w:rFonts w:hint="eastAsia" w:eastAsia="仿宋_GB2312" w:cs="Times New Roman"/>
          <w:sz w:val="32"/>
          <w:szCs w:val="32"/>
          <w:lang w:val="en-US" w:bidi="ar-SA"/>
        </w:rPr>
        <w:t>无。</w:t>
      </w:r>
    </w:p>
    <w:p w14:paraId="2B4C676E">
      <w:pPr>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十二、其他应当予以说明的事项</w:t>
      </w:r>
    </w:p>
    <w:p w14:paraId="2889C1C9">
      <w:pPr>
        <w:pStyle w:val="17"/>
        <w:spacing w:line="560" w:lineRule="exact"/>
        <w:ind w:firstLine="640" w:firstLineChars="200"/>
        <w:rPr>
          <w:rFonts w:hint="eastAsia" w:eastAsia="仿宋_GB2312" w:cs="Times New Roman"/>
          <w:sz w:val="32"/>
          <w:szCs w:val="32"/>
          <w:lang w:val="en-US" w:bidi="ar-SA"/>
        </w:rPr>
      </w:pPr>
      <w:r>
        <w:rPr>
          <w:rFonts w:hint="eastAsia" w:eastAsia="仿宋_GB2312" w:cs="Times New Roman"/>
          <w:sz w:val="32"/>
          <w:szCs w:val="32"/>
          <w:lang w:val="en-US" w:bidi="ar-SA"/>
        </w:rPr>
        <w:t>无。</w:t>
      </w:r>
    </w:p>
    <w:p w14:paraId="72E43BAC"/>
    <w:sectPr>
      <w:headerReference r:id="rId13" w:type="default"/>
      <w:footerReference r:id="rId15" w:type="default"/>
      <w:headerReference r:id="rId14" w:type="even"/>
      <w:footerReference r:id="rId16" w:type="even"/>
      <w:pgSz w:w="11906" w:h="16838"/>
      <w:pgMar w:top="567" w:right="1134" w:bottom="1134" w:left="1134" w:header="1418" w:footer="1134" w:gutter="283"/>
      <w:pgNumType w:fmt="decimal"/>
      <w:cols w:space="720" w:num="1"/>
      <w:formProt w:val="0"/>
      <w:docGrid w:type="lines" w:linePitch="32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828C2">
    <w:pPr>
      <w:pStyle w:val="21"/>
      <w:jc w:val="lef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F79ABB2">
                          <w:pPr>
                            <w:pStyle w:val="21"/>
                            <w:jc w:val="left"/>
                          </w:pPr>
                          <w:r>
                            <w:fldChar w:fldCharType="begin"/>
                          </w:r>
                          <w:r>
                            <w:instrText xml:space="preserve">PAGE   \* MERGEFORMAT</w:instrText>
                          </w:r>
                          <w:r>
                            <w:fldChar w:fldCharType="separate"/>
                          </w:r>
                          <w:r>
                            <w:rPr>
                              <w:lang w:val="zh-CN"/>
                            </w:rPr>
                            <w:t>II</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PNcaU0QEAAKIDAAAOAAAAAAAAAAEAIAAAAB8BAABk&#10;cnMvZTJvRG9jLnhtbFBLBQYAAAAABgAGAFkBAABiBQAAAAA=&#10;">
              <v:fill on="f" focussize="0,0"/>
              <v:stroke on="f" weight="0.5pt"/>
              <v:imagedata o:title=""/>
              <o:lock v:ext="edit" aspectratio="f"/>
              <v:textbox inset="0mm,0mm,0mm,0mm" style="mso-fit-shape-to-text:t;">
                <w:txbxContent>
                  <w:p w14:paraId="5F79ABB2">
                    <w:pPr>
                      <w:pStyle w:val="21"/>
                      <w:jc w:val="left"/>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C1419">
    <w:pPr>
      <w:pStyle w:val="21"/>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04FB0">
    <w:pPr>
      <w:pStyle w:val="6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4CCB10E">
                          <w:pPr>
                            <w:pStyle w:val="65"/>
                          </w:pPr>
                          <w:r>
                            <w:fldChar w:fldCharType="begin"/>
                          </w:r>
                          <w:r>
                            <w:instrText xml:space="preserve">PAGE   \* MERGEFORMAT</w:instrText>
                          </w:r>
                          <w:r>
                            <w:fldChar w:fldCharType="separate"/>
                          </w:r>
                          <w:r>
                            <w:rPr>
                              <w:lang w:val="zh-CN"/>
                            </w:rPr>
                            <w:t>III</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hdx8tIBAACjAwAADgAAAAAAAAABACAAAAAfAQAA&#10;ZHJzL2Uyb0RvYy54bWxQSwUGAAAAAAYABgBZAQAAYwUAAAAA&#10;">
              <v:fill on="f" focussize="0,0"/>
              <v:stroke on="f" weight="0.5pt"/>
              <v:imagedata o:title=""/>
              <o:lock v:ext="edit" aspectratio="f"/>
              <v:textbox inset="0mm,0mm,0mm,0mm" style="mso-fit-shape-to-text:t;">
                <w:txbxContent>
                  <w:p w14:paraId="64CCB10E">
                    <w:pPr>
                      <w:pStyle w:val="65"/>
                    </w:pPr>
                    <w:r>
                      <w:fldChar w:fldCharType="begin"/>
                    </w:r>
                    <w:r>
                      <w:instrText xml:space="preserve">PAGE   \* MERGEFORMAT</w:instrText>
                    </w:r>
                    <w:r>
                      <w:fldChar w:fldCharType="separate"/>
                    </w:r>
                    <w:r>
                      <w:rPr>
                        <w:lang w:val="zh-CN"/>
                      </w:rPr>
                      <w:t>III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05F85">
    <w:pPr>
      <w:pStyle w:val="21"/>
      <w:ind w:right="720"/>
      <w:jc w:val="both"/>
      <w:rPr>
        <w:sz w:val="2"/>
        <w:szCs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0AB3CB9">
                          <w:pPr>
                            <w:pStyle w:val="21"/>
                          </w:pPr>
                          <w:r>
                            <w:fldChar w:fldCharType="begin"/>
                          </w:r>
                          <w:r>
                            <w:instrText xml:space="preserve"> PAGE  \* MERGEFORMAT </w:instrText>
                          </w:r>
                          <w:r>
                            <w:fldChar w:fldCharType="separate"/>
                          </w:r>
                          <w:r>
                            <w:t>I</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A4OVBdIBAACkAwAADgAAAAAAAAABACAAAAAfAQAA&#10;ZHJzL2Uyb0RvYy54bWxQSwUGAAAAAAYABgBZAQAAYwUAAAAA&#10;">
              <v:fill on="f" focussize="0,0"/>
              <v:stroke on="f" weight="0.5pt"/>
              <v:imagedata o:title=""/>
              <o:lock v:ext="edit" aspectratio="f"/>
              <v:textbox inset="0mm,0mm,0mm,0mm" style="mso-fit-shape-to-text:t;">
                <w:txbxContent>
                  <w:p w14:paraId="30AB3CB9">
                    <w:pPr>
                      <w:pStyle w:val="21"/>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E80BC">
    <w:pPr>
      <w:pStyle w:val="6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9B6C4E">
                          <w:pPr>
                            <w:pStyle w:val="65"/>
                          </w:pPr>
                          <w:r>
                            <w:fldChar w:fldCharType="begin"/>
                          </w:r>
                          <w:r>
                            <w:instrText xml:space="preserve">PAGE   \* MERGEFORMAT</w:instrText>
                          </w:r>
                          <w:r>
                            <w:fldChar w:fldCharType="separate"/>
                          </w:r>
                          <w:r>
                            <w:rPr>
                              <w:lang w:val="zh-CN"/>
                            </w:rPr>
                            <w:t>27</w:t>
                          </w:r>
                          <w:r>
                            <w:fldChar w:fldCharType="end"/>
                          </w: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pri5LIAQAAmgMAAA4AAAAAAAAAAQAgAAAAHgEAAGRycy9lMm9Eb2Mu&#10;eG1sUEsFBgAAAAAGAAYAWQEAAFgFAAAAAA==&#10;">
              <v:fill on="f" focussize="0,0"/>
              <v:stroke on="f"/>
              <v:imagedata o:title=""/>
              <o:lock v:ext="edit" aspectratio="f"/>
              <v:textbox inset="0mm,0mm,0mm,0mm" style="mso-fit-shape-to-text:t;">
                <w:txbxContent>
                  <w:p w14:paraId="4F9B6C4E">
                    <w:pPr>
                      <w:pStyle w:val="65"/>
                    </w:pPr>
                    <w:r>
                      <w:fldChar w:fldCharType="begin"/>
                    </w:r>
                    <w:r>
                      <w:instrText xml:space="preserve">PAGE   \* MERGEFORMAT</w:instrText>
                    </w:r>
                    <w:r>
                      <w:fldChar w:fldCharType="separate"/>
                    </w:r>
                    <w:r>
                      <w:rPr>
                        <w:lang w:val="zh-CN"/>
                      </w:rPr>
                      <w:t>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6C6A0">
    <w:pPr>
      <w:pStyle w:val="21"/>
      <w:jc w:val="lef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0358D8">
                          <w:pPr>
                            <w:pStyle w:val="21"/>
                            <w:jc w:val="left"/>
                          </w:pPr>
                          <w:r>
                            <w:fldChar w:fldCharType="begin"/>
                          </w:r>
                          <w:r>
                            <w:instrText xml:space="preserve">PAGE   \* MERGEFORMAT</w:instrText>
                          </w:r>
                          <w:r>
                            <w:fldChar w:fldCharType="separate"/>
                          </w:r>
                          <w:r>
                            <w:rPr>
                              <w:lang w:val="zh-CN"/>
                            </w:rPr>
                            <w:t>IV</w:t>
                          </w:r>
                          <w:r>
                            <w:fldChar w:fldCharType="end"/>
                          </w:r>
                        </w:p>
                      </w:txbxContent>
                    </wps:txbx>
                    <wps:bodyPr wrap="none" lIns="0" tIns="0" rIns="0" bIns="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v+tc8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KI7dcYsDv/z8cfn15/L7O1kt&#10;sz59gBrT7gMmpuGdH3BrZj+gM9MeVLT5i4QIxlHd81VdOSQi8qP1ar2uMCQwNl8Qnz08DxHSe+kt&#10;yUZDI46vqMpPHyGNqXNKrub8nTamjNC4fxyImT0s9z72mK007IeJ0N63Z+TT4+Qb6nDRKTEfHAqb&#10;l2Q24mzsZ+MYoj50ZYtyPQi3x4RNlN5yhRF2KowjK+ym9co78fhesh5+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r/rXPIAQAAmgMAAA4AAAAAAAAAAQAgAAAAHgEAAGRycy9lMm9Eb2Mu&#10;eG1sUEsFBgAAAAAGAAYAWQEAAFgFAAAAAA==&#10;">
              <v:fill on="f" focussize="0,0"/>
              <v:stroke on="f"/>
              <v:imagedata o:title=""/>
              <o:lock v:ext="edit" aspectratio="f"/>
              <v:textbox inset="0mm,0mm,0mm,0mm" style="mso-fit-shape-to-text:t;">
                <w:txbxContent>
                  <w:p w14:paraId="2D0358D8">
                    <w:pPr>
                      <w:pStyle w:val="21"/>
                      <w:jc w:val="left"/>
                    </w:pPr>
                    <w:r>
                      <w:fldChar w:fldCharType="begin"/>
                    </w:r>
                    <w:r>
                      <w:instrText xml:space="preserve">PAGE   \* MERGEFORMAT</w:instrText>
                    </w:r>
                    <w:r>
                      <w:fldChar w:fldCharType="separate"/>
                    </w:r>
                    <w:r>
                      <w:rPr>
                        <w:lang w:val="zh-CN"/>
                      </w:rPr>
                      <w:t>IV</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B4A37">
    <w:pPr>
      <w:pStyle w:val="6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28198">
                          <w:pPr>
                            <w:pStyle w:val="65"/>
                          </w:pPr>
                          <w:r>
                            <w:fldChar w:fldCharType="begin"/>
                          </w:r>
                          <w:r>
                            <w:instrText xml:space="preserve">PAGE   \* MERGEFORMAT</w:instrText>
                          </w:r>
                          <w:r>
                            <w:fldChar w:fldCharType="separate"/>
                          </w:r>
                          <w:r>
                            <w:rPr>
                              <w:lang w:val="zh-CN"/>
                            </w:rPr>
                            <w:t>7</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NVaFhjdAQAAvgMAAA4AAAAAAAAA&#10;AQAgAAAAHgEAAGRycy9lMm9Eb2MueG1sUEsFBgAAAAAGAAYAWQEAAG0FAAAAAA==&#10;">
              <v:fill on="f" focussize="0,0"/>
              <v:stroke on="f"/>
              <v:imagedata o:title=""/>
              <o:lock v:ext="edit" aspectratio="f"/>
              <v:textbox inset="0mm,0mm,0mm,0mm" style="mso-fit-shape-to-text:t;">
                <w:txbxContent>
                  <w:p w14:paraId="71B28198">
                    <w:pPr>
                      <w:pStyle w:val="65"/>
                    </w:pPr>
                    <w:r>
                      <w:fldChar w:fldCharType="begin"/>
                    </w:r>
                    <w:r>
                      <w:instrText xml:space="preserve">PAGE   \* MERGEFORMAT</w:instrText>
                    </w:r>
                    <w:r>
                      <w:fldChar w:fldCharType="separate"/>
                    </w:r>
                    <w:r>
                      <w:rPr>
                        <w:lang w:val="zh-CN"/>
                      </w:rP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9F8D1">
    <w:pPr>
      <w:pStyle w:val="21"/>
      <w:jc w:val="left"/>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324950">
                          <w:pPr>
                            <w:pStyle w:val="21"/>
                            <w:jc w:val="left"/>
                          </w:pPr>
                          <w:r>
                            <w:fldChar w:fldCharType="begin"/>
                          </w:r>
                          <w:r>
                            <w:instrText xml:space="preserve">PAGE   \* MERGEFORMAT</w:instrText>
                          </w:r>
                          <w:r>
                            <w:fldChar w:fldCharType="separate"/>
                          </w:r>
                          <w:r>
                            <w:rPr>
                              <w:lang w:val="zh-CN"/>
                            </w:rPr>
                            <w:t>6</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B5QfGbdAQAAvwMAAA4AAAAAAAAA&#10;AQAgAAAAHgEAAGRycy9lMm9Eb2MueG1sUEsFBgAAAAAGAAYAWQEAAG0FAAAAAA==&#10;">
              <v:fill on="f" focussize="0,0"/>
              <v:stroke on="f"/>
              <v:imagedata o:title=""/>
              <o:lock v:ext="edit" aspectratio="f"/>
              <v:textbox inset="0mm,0mm,0mm,0mm" style="mso-fit-shape-to-text:t;">
                <w:txbxContent>
                  <w:p w14:paraId="7C324950">
                    <w:pPr>
                      <w:pStyle w:val="21"/>
                      <w:jc w:val="left"/>
                    </w:pPr>
                    <w:r>
                      <w:fldChar w:fldCharType="begin"/>
                    </w:r>
                    <w:r>
                      <w:instrText xml:space="preserve">PAGE   \* MERGEFORMAT</w:instrText>
                    </w:r>
                    <w:r>
                      <w:fldChar w:fldCharType="separate"/>
                    </w:r>
                    <w:r>
                      <w:rPr>
                        <w:lang w:val="zh-CN"/>
                      </w:rP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15AF">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6699">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810C2">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4D746">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C3A06"/>
    <w:multiLevelType w:val="singleLevel"/>
    <w:tmpl w:val="B83C3A06"/>
    <w:lvl w:ilvl="0" w:tentative="0">
      <w:start w:val="1"/>
      <w:numFmt w:val="decimal"/>
      <w:lvlText w:val="%1)"/>
      <w:lvlJc w:val="left"/>
      <w:pPr>
        <w:tabs>
          <w:tab w:val="left" w:pos="397"/>
        </w:tabs>
        <w:ind w:left="397" w:firstLine="0"/>
      </w:pPr>
      <w:rPr>
        <w:rFonts w:hint="default"/>
      </w:rPr>
    </w:lvl>
  </w:abstractNum>
  <w:abstractNum w:abstractNumId="1">
    <w:nsid w:val="BCF2AD8E"/>
    <w:multiLevelType w:val="singleLevel"/>
    <w:tmpl w:val="BCF2AD8E"/>
    <w:lvl w:ilvl="0" w:tentative="0">
      <w:start w:val="1"/>
      <w:numFmt w:val="decimal"/>
      <w:lvlText w:val="%1)"/>
      <w:lvlJc w:val="left"/>
      <w:pPr>
        <w:tabs>
          <w:tab w:val="left" w:pos="397"/>
        </w:tabs>
        <w:ind w:left="397" w:firstLine="0"/>
      </w:pPr>
      <w:rPr>
        <w:rFonts w:hint="default"/>
      </w:rPr>
    </w:lvl>
  </w:abstractNum>
  <w:abstractNum w:abstractNumId="2">
    <w:nsid w:val="BEE52BF8"/>
    <w:multiLevelType w:val="singleLevel"/>
    <w:tmpl w:val="BEE52BF8"/>
    <w:lvl w:ilvl="0" w:tentative="0">
      <w:start w:val="1"/>
      <w:numFmt w:val="decimal"/>
      <w:lvlText w:val="%1)"/>
      <w:lvlJc w:val="left"/>
      <w:pPr>
        <w:tabs>
          <w:tab w:val="left" w:pos="397"/>
        </w:tabs>
        <w:ind w:left="397" w:firstLine="0"/>
      </w:pPr>
      <w:rPr>
        <w:rFonts w:hint="default"/>
      </w:rPr>
    </w:lvl>
  </w:abstractNum>
  <w:abstractNum w:abstractNumId="3">
    <w:nsid w:val="DAE3BA3C"/>
    <w:multiLevelType w:val="multilevel"/>
    <w:tmpl w:val="DAE3BA3C"/>
    <w:lvl w:ilvl="0" w:tentative="0">
      <w:start w:val="1"/>
      <w:numFmt w:val="decimal"/>
      <w:pStyle w:val="5"/>
      <w:lvlText w:val="%1."/>
      <w:lvlJc w:val="left"/>
      <w:pPr>
        <w:ind w:left="432" w:hanging="432"/>
      </w:pPr>
      <w:rPr>
        <w:rFonts w:hint="default"/>
      </w:rPr>
    </w:lvl>
    <w:lvl w:ilvl="1" w:tentative="0">
      <w:start w:val="1"/>
      <w:numFmt w:val="decimal"/>
      <w:pStyle w:val="6"/>
      <w:lvlText w:val="%1.%2."/>
      <w:lvlJc w:val="left"/>
      <w:pPr>
        <w:ind w:left="575" w:hanging="575"/>
      </w:pPr>
      <w:rPr>
        <w:rFonts w:hint="default"/>
      </w:rPr>
    </w:lvl>
    <w:lvl w:ilvl="2" w:tentative="0">
      <w:start w:val="1"/>
      <w:numFmt w:val="decimal"/>
      <w:pStyle w:val="7"/>
      <w:lvlText w:val="%1.%2.%3."/>
      <w:lvlJc w:val="left"/>
      <w:pPr>
        <w:ind w:left="720" w:hanging="720"/>
      </w:pPr>
      <w:rPr>
        <w:rFonts w:hint="default"/>
      </w:rPr>
    </w:lvl>
    <w:lvl w:ilvl="3" w:tentative="0">
      <w:start w:val="1"/>
      <w:numFmt w:val="decimal"/>
      <w:pStyle w:val="8"/>
      <w:lvlText w:val="%1.%2.%3.%4."/>
      <w:lvlJc w:val="left"/>
      <w:pPr>
        <w:ind w:left="864" w:hanging="864"/>
      </w:pPr>
      <w:rPr>
        <w:rFonts w:hint="default"/>
      </w:rPr>
    </w:lvl>
    <w:lvl w:ilvl="4" w:tentative="0">
      <w:start w:val="1"/>
      <w:numFmt w:val="decimal"/>
      <w:pStyle w:val="9"/>
      <w:lvlText w:val="%1.%2.%3.%4.%5."/>
      <w:lvlJc w:val="left"/>
      <w:pPr>
        <w:ind w:left="1008" w:hanging="1008"/>
      </w:pPr>
      <w:rPr>
        <w:rFonts w:hint="default"/>
      </w:rPr>
    </w:lvl>
    <w:lvl w:ilvl="5" w:tentative="0">
      <w:start w:val="1"/>
      <w:numFmt w:val="decimal"/>
      <w:pStyle w:val="10"/>
      <w:lvlText w:val="%1.%2.%3.%4.%5.%6."/>
      <w:lvlJc w:val="left"/>
      <w:pPr>
        <w:ind w:left="1151" w:hanging="1151"/>
      </w:pPr>
      <w:rPr>
        <w:rFonts w:hint="default"/>
      </w:rPr>
    </w:lvl>
    <w:lvl w:ilvl="6" w:tentative="0">
      <w:start w:val="1"/>
      <w:numFmt w:val="decimal"/>
      <w:pStyle w:val="11"/>
      <w:lvlText w:val="%1.%2.%3.%4.%5.%6.%7."/>
      <w:lvlJc w:val="left"/>
      <w:pPr>
        <w:ind w:left="1296" w:hanging="1296"/>
      </w:pPr>
      <w:rPr>
        <w:rFonts w:hint="default"/>
      </w:rPr>
    </w:lvl>
    <w:lvl w:ilvl="7" w:tentative="0">
      <w:start w:val="1"/>
      <w:numFmt w:val="decimal"/>
      <w:pStyle w:val="12"/>
      <w:lvlText w:val="%1.%2.%3.%4.%5.%6.%7.%8."/>
      <w:lvlJc w:val="left"/>
      <w:pPr>
        <w:ind w:left="1440" w:hanging="1440"/>
      </w:pPr>
      <w:rPr>
        <w:rFonts w:hint="default"/>
      </w:rPr>
    </w:lvl>
    <w:lvl w:ilvl="8" w:tentative="0">
      <w:start w:val="1"/>
      <w:numFmt w:val="decimal"/>
      <w:pStyle w:val="13"/>
      <w:lvlText w:val="%1.%2.%3.%4.%5.%6.%7.%8.%9."/>
      <w:lvlJc w:val="left"/>
      <w:pPr>
        <w:ind w:left="1583" w:hanging="1583"/>
      </w:pPr>
      <w:rPr>
        <w:rFonts w:hint="default"/>
      </w:rPr>
    </w:lvl>
  </w:abstractNum>
  <w:abstractNum w:abstractNumId="4">
    <w:nsid w:val="F860F67E"/>
    <w:multiLevelType w:val="singleLevel"/>
    <w:tmpl w:val="F860F67E"/>
    <w:lvl w:ilvl="0" w:tentative="0">
      <w:start w:val="1"/>
      <w:numFmt w:val="decimal"/>
      <w:lvlText w:val="%1)"/>
      <w:lvlJc w:val="left"/>
      <w:pPr>
        <w:tabs>
          <w:tab w:val="left" w:pos="397"/>
        </w:tabs>
        <w:ind w:left="397" w:firstLine="0"/>
      </w:pPr>
      <w:rPr>
        <w:rFonts w:hint="default"/>
      </w:rPr>
    </w:lvl>
  </w:abstractNum>
  <w:abstractNum w:abstractNumId="5">
    <w:nsid w:val="02837933"/>
    <w:multiLevelType w:val="multilevel"/>
    <w:tmpl w:val="02837933"/>
    <w:lvl w:ilvl="0" w:tentative="0">
      <w:start w:val="1"/>
      <w:numFmt w:val="decimal"/>
      <w:pStyle w:val="7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6">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6"/>
      <w:suff w:val="nothing"/>
      <w:lvlText w:val="%1%2.%3　"/>
      <w:lvlJc w:val="left"/>
      <w:pPr>
        <w:ind w:left="0" w:firstLine="0"/>
      </w:pPr>
    </w:lvl>
    <w:lvl w:ilvl="3" w:tentative="0">
      <w:start w:val="1"/>
      <w:numFmt w:val="decimal"/>
      <w:pStyle w:val="127"/>
      <w:suff w:val="nothing"/>
      <w:lvlText w:val="%1%2.%3.%4　"/>
      <w:lvlJc w:val="left"/>
      <w:pPr>
        <w:ind w:left="0" w:firstLine="0"/>
      </w:pPr>
    </w:lvl>
    <w:lvl w:ilvl="4" w:tentative="0">
      <w:start w:val="1"/>
      <w:numFmt w:val="decimal"/>
      <w:pStyle w:val="160"/>
      <w:suff w:val="nothing"/>
      <w:lvlText w:val="%1%2.%3.%4.%5　"/>
      <w:lvlJc w:val="left"/>
      <w:pPr>
        <w:ind w:left="0" w:firstLine="0"/>
      </w:pPr>
    </w:lvl>
    <w:lvl w:ilvl="5" w:tentative="0">
      <w:start w:val="1"/>
      <w:numFmt w:val="decimal"/>
      <w:pStyle w:val="162"/>
      <w:suff w:val="nothing"/>
      <w:lvlText w:val="%1%2.%3.%4.%5.%6　"/>
      <w:lvlJc w:val="left"/>
      <w:pPr>
        <w:ind w:left="0" w:firstLine="0"/>
      </w:pPr>
    </w:lvl>
    <w:lvl w:ilvl="6" w:tentative="0">
      <w:start w:val="1"/>
      <w:numFmt w:val="decimal"/>
      <w:pStyle w:val="165"/>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7">
    <w:nsid w:val="079102AD"/>
    <w:multiLevelType w:val="multilevel"/>
    <w:tmpl w:val="079102AD"/>
    <w:lvl w:ilvl="0" w:tentative="0">
      <w:start w:val="1"/>
      <w:numFmt w:val="decimal"/>
      <w:pStyle w:val="187"/>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8">
    <w:nsid w:val="07ED3FEA"/>
    <w:multiLevelType w:val="multilevel"/>
    <w:tmpl w:val="07ED3FEA"/>
    <w:lvl w:ilvl="0" w:tentative="0">
      <w:start w:val="1"/>
      <w:numFmt w:val="none"/>
      <w:pStyle w:val="101"/>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hAnsi="等线" w:eastAsia="黑体"/>
        <w:b w:val="0"/>
        <w:i w:val="0"/>
        <w:sz w:val="21"/>
      </w:rPr>
    </w:lvl>
    <w:lvl w:ilvl="2" w:tentative="0">
      <w:start w:val="1"/>
      <w:numFmt w:val="decimal"/>
      <w:pStyle w:val="205"/>
      <w:suff w:val="nothing"/>
      <w:lvlText w:val="%10.%2.%3 "/>
      <w:lvlJc w:val="left"/>
      <w:pPr>
        <w:ind w:left="0" w:firstLine="0"/>
      </w:pPr>
      <w:rPr>
        <w:rFonts w:hint="eastAsia" w:ascii="黑体" w:hAnsi="等线" w:eastAsia="黑体"/>
        <w:b w:val="0"/>
        <w:i w:val="0"/>
        <w:sz w:val="21"/>
      </w:rPr>
    </w:lvl>
    <w:lvl w:ilvl="3" w:tentative="0">
      <w:start w:val="1"/>
      <w:numFmt w:val="decimal"/>
      <w:pStyle w:val="206"/>
      <w:suff w:val="nothing"/>
      <w:lvlText w:val="%10.%2.%3.%4 "/>
      <w:lvlJc w:val="left"/>
      <w:pPr>
        <w:ind w:left="0" w:firstLine="0"/>
      </w:pPr>
      <w:rPr>
        <w:rFonts w:hint="eastAsia" w:ascii="黑体" w:hAnsi="等线" w:eastAsia="黑体"/>
        <w:b w:val="0"/>
        <w:i w:val="0"/>
        <w:sz w:val="21"/>
      </w:rPr>
    </w:lvl>
    <w:lvl w:ilvl="4" w:tentative="0">
      <w:start w:val="1"/>
      <w:numFmt w:val="decimal"/>
      <w:pStyle w:val="207"/>
      <w:suff w:val="nothing"/>
      <w:lvlText w:val="%10.%2.%3.%4.%5 "/>
      <w:lvlJc w:val="left"/>
      <w:pPr>
        <w:ind w:left="0" w:firstLine="0"/>
      </w:pPr>
      <w:rPr>
        <w:rFonts w:hint="eastAsia" w:ascii="黑体" w:hAnsi="等线" w:eastAsia="黑体"/>
        <w:b w:val="0"/>
        <w:i w:val="0"/>
        <w:sz w:val="21"/>
      </w:rPr>
    </w:lvl>
    <w:lvl w:ilvl="5" w:tentative="0">
      <w:start w:val="1"/>
      <w:numFmt w:val="decimal"/>
      <w:pStyle w:val="208"/>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0AE367E9"/>
    <w:multiLevelType w:val="multilevel"/>
    <w:tmpl w:val="0AE367E9"/>
    <w:lvl w:ilvl="0" w:tentative="0">
      <w:start w:val="1"/>
      <w:numFmt w:val="none"/>
      <w:pStyle w:val="188"/>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0">
    <w:nsid w:val="0BDC1670"/>
    <w:multiLevelType w:val="multilevel"/>
    <w:tmpl w:val="0BDC1670"/>
    <w:lvl w:ilvl="0" w:tentative="0">
      <w:start w:val="1"/>
      <w:numFmt w:val="decimal"/>
      <w:pStyle w:val="8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D051F45"/>
    <w:multiLevelType w:val="multilevel"/>
    <w:tmpl w:val="0D051F45"/>
    <w:lvl w:ilvl="0" w:tentative="0">
      <w:start w:val="1"/>
      <w:numFmt w:val="lowerRoman"/>
      <w:pStyle w:val="17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2">
    <w:nsid w:val="1AD20F90"/>
    <w:multiLevelType w:val="multilevel"/>
    <w:tmpl w:val="1AD20F90"/>
    <w:lvl w:ilvl="0" w:tentative="0">
      <w:start w:val="1"/>
      <w:numFmt w:val="none"/>
      <w:pStyle w:val="119"/>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AF15012"/>
    <w:multiLevelType w:val="multilevel"/>
    <w:tmpl w:val="1AF15012"/>
    <w:lvl w:ilvl="0" w:tentative="0">
      <w:start w:val="1"/>
      <w:numFmt w:val="upperLetter"/>
      <w:pStyle w:val="9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1EAA1992"/>
    <w:multiLevelType w:val="multilevel"/>
    <w:tmpl w:val="1EAA1992"/>
    <w:lvl w:ilvl="0" w:tentative="0">
      <w:start w:val="1"/>
      <w:numFmt w:val="none"/>
      <w:pStyle w:val="10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5">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58"/>
      <w:suff w:val="nothing"/>
      <w:lvlText w:val="%1.%2.%3　"/>
      <w:lvlJc w:val="left"/>
      <w:pPr>
        <w:ind w:left="0" w:firstLine="0"/>
      </w:pPr>
      <w:rPr>
        <w:rFonts w:hint="eastAsia" w:ascii="黑体" w:hAnsi="Times New Roman" w:eastAsia="黑体"/>
        <w:b w:val="0"/>
        <w:i w:val="0"/>
        <w:sz w:val="21"/>
      </w:rPr>
    </w:lvl>
    <w:lvl w:ilvl="3" w:tentative="0">
      <w:start w:val="1"/>
      <w:numFmt w:val="decimal"/>
      <w:pStyle w:val="257"/>
      <w:suff w:val="nothing"/>
      <w:lvlText w:val="%1.%2.%3.%4　"/>
      <w:lvlJc w:val="left"/>
      <w:pPr>
        <w:ind w:left="99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6">
    <w:nsid w:val="2C5917C3"/>
    <w:multiLevelType w:val="multilevel"/>
    <w:tmpl w:val="2C5917C3"/>
    <w:lvl w:ilvl="0" w:tentative="0">
      <w:start w:val="1"/>
      <w:numFmt w:val="none"/>
      <w:pStyle w:val="141"/>
      <w:lvlText w:val="%1——"/>
      <w:lvlJc w:val="left"/>
      <w:pPr>
        <w:tabs>
          <w:tab w:val="left" w:pos="851"/>
        </w:tabs>
        <w:ind w:left="851" w:hanging="426"/>
      </w:pPr>
      <w:rPr>
        <w:rFonts w:hint="eastAsia" w:ascii="黑体" w:hAnsi="黑体" w:eastAsia="黑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9"/>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7">
    <w:nsid w:val="32F04FB2"/>
    <w:multiLevelType w:val="multilevel"/>
    <w:tmpl w:val="32F04FB2"/>
    <w:lvl w:ilvl="0" w:tentative="0">
      <w:start w:val="1"/>
      <w:numFmt w:val="lowerLetter"/>
      <w:pStyle w:val="11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8">
    <w:nsid w:val="44C50F90"/>
    <w:multiLevelType w:val="multilevel"/>
    <w:tmpl w:val="44C50F90"/>
    <w:lvl w:ilvl="0" w:tentative="0">
      <w:start w:val="1"/>
      <w:numFmt w:val="lowerLetter"/>
      <w:pStyle w:val="254"/>
      <w:lvlText w:val="%1)"/>
      <w:lvlJc w:val="left"/>
      <w:pPr>
        <w:tabs>
          <w:tab w:val="left" w:pos="851"/>
        </w:tabs>
        <w:ind w:left="851" w:hanging="426"/>
      </w:pPr>
      <w:rPr>
        <w:rFonts w:hint="eastAsia" w:ascii="宋体" w:hAnsi="Times New Roman" w:eastAsia="宋体"/>
        <w:sz w:val="21"/>
      </w:rPr>
    </w:lvl>
    <w:lvl w:ilvl="1" w:tentative="0">
      <w:start w:val="1"/>
      <w:numFmt w:val="decimal"/>
      <w:pStyle w:val="118"/>
      <w:lvlText w:val="%2)"/>
      <w:lvlJc w:val="left"/>
      <w:pPr>
        <w:tabs>
          <w:tab w:val="left" w:pos="1276"/>
        </w:tabs>
        <w:ind w:left="1276" w:hanging="425"/>
      </w:pPr>
      <w:rPr>
        <w:rFonts w:hint="eastAsia" w:ascii="宋体" w:hAnsi="Times New Roman" w:eastAsia="宋体"/>
        <w:sz w:val="21"/>
      </w:rPr>
    </w:lvl>
    <w:lvl w:ilvl="2" w:tentative="0">
      <w:start w:val="1"/>
      <w:numFmt w:val="decimal"/>
      <w:pStyle w:val="126"/>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9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0">
    <w:nsid w:val="4B733A5F"/>
    <w:multiLevelType w:val="multilevel"/>
    <w:tmpl w:val="4B733A5F"/>
    <w:lvl w:ilvl="0" w:tentative="0">
      <w:start w:val="1"/>
      <w:numFmt w:val="decimal"/>
      <w:pStyle w:val="190"/>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1">
    <w:nsid w:val="4E5D0534"/>
    <w:multiLevelType w:val="multilevel"/>
    <w:tmpl w:val="4E5D0534"/>
    <w:lvl w:ilvl="0" w:tentative="0">
      <w:start w:val="1"/>
      <w:numFmt w:val="decimal"/>
      <w:pStyle w:val="125"/>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4632751"/>
    <w:multiLevelType w:val="multilevel"/>
    <w:tmpl w:val="54632751"/>
    <w:lvl w:ilvl="0" w:tentative="0">
      <w:start w:val="1"/>
      <w:numFmt w:val="none"/>
      <w:pStyle w:val="10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3">
    <w:nsid w:val="557C2AF5"/>
    <w:multiLevelType w:val="multilevel"/>
    <w:tmpl w:val="557C2AF5"/>
    <w:lvl w:ilvl="0" w:tentative="0">
      <w:start w:val="1"/>
      <w:numFmt w:val="decimal"/>
      <w:pStyle w:val="123"/>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4">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9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5">
    <w:nsid w:val="564D2089"/>
    <w:multiLevelType w:val="multilevel"/>
    <w:tmpl w:val="564D2089"/>
    <w:lvl w:ilvl="0" w:tentative="0">
      <w:start w:val="1"/>
      <w:numFmt w:val="none"/>
      <w:pStyle w:val="120"/>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44622F9"/>
    <w:multiLevelType w:val="multilevel"/>
    <w:tmpl w:val="644622F9"/>
    <w:lvl w:ilvl="0" w:tentative="0">
      <w:start w:val="1"/>
      <w:numFmt w:val="upp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7">
    <w:nsid w:val="646260FA"/>
    <w:multiLevelType w:val="multilevel"/>
    <w:tmpl w:val="646260FA"/>
    <w:lvl w:ilvl="0" w:tentative="0">
      <w:start w:val="1"/>
      <w:numFmt w:val="decimal"/>
      <w:pStyle w:val="121"/>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8">
    <w:nsid w:val="654A26C9"/>
    <w:multiLevelType w:val="multilevel"/>
    <w:tmpl w:val="654A26C9"/>
    <w:lvl w:ilvl="0" w:tentative="0">
      <w:start w:val="1"/>
      <w:numFmt w:val="none"/>
      <w:pStyle w:val="194"/>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9">
    <w:nsid w:val="657D3FBC"/>
    <w:multiLevelType w:val="multilevel"/>
    <w:tmpl w:val="657D3FBC"/>
    <w:lvl w:ilvl="0" w:tentative="0">
      <w:start w:val="1"/>
      <w:numFmt w:val="upperLetter"/>
      <w:pStyle w:val="89"/>
      <w:suff w:val="nothing"/>
      <w:lvlText w:val="附录%1"/>
      <w:lvlJc w:val="left"/>
      <w:pPr>
        <w:ind w:left="0" w:firstLine="0"/>
      </w:pPr>
      <w:rPr>
        <w:rFonts w:hint="eastAsia"/>
        <w:spacing w:val="100"/>
      </w:rPr>
    </w:lvl>
    <w:lvl w:ilvl="1" w:tentative="0">
      <w:start w:val="1"/>
      <w:numFmt w:val="decimal"/>
      <w:pStyle w:val="91"/>
      <w:suff w:val="nothing"/>
      <w:lvlText w:val="%1.%2　"/>
      <w:lvlJc w:val="left"/>
      <w:pPr>
        <w:ind w:left="0" w:firstLine="0"/>
      </w:pPr>
      <w:rPr>
        <w:rFonts w:hint="eastAsia" w:ascii="黑体" w:eastAsia="黑体"/>
        <w:b w:val="0"/>
        <w:i w:val="0"/>
        <w:sz w:val="21"/>
      </w:rPr>
    </w:lvl>
    <w:lvl w:ilvl="2" w:tentative="0">
      <w:start w:val="1"/>
      <w:numFmt w:val="decimal"/>
      <w:pStyle w:val="92"/>
      <w:suff w:val="nothing"/>
      <w:lvlText w:val="%1.%2.%3　"/>
      <w:lvlJc w:val="left"/>
      <w:pPr>
        <w:ind w:left="0" w:firstLine="0"/>
      </w:pPr>
      <w:rPr>
        <w:rFonts w:hint="eastAsia" w:ascii="黑体" w:eastAsia="黑体"/>
        <w:b w:val="0"/>
        <w:i w:val="0"/>
        <w:sz w:val="21"/>
      </w:rPr>
    </w:lvl>
    <w:lvl w:ilvl="3" w:tentative="0">
      <w:start w:val="1"/>
      <w:numFmt w:val="decimal"/>
      <w:pStyle w:val="94"/>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1">
    <w:nsid w:val="6CA41985"/>
    <w:multiLevelType w:val="multilevel"/>
    <w:tmpl w:val="6CA41985"/>
    <w:lvl w:ilvl="0" w:tentative="0">
      <w:start w:val="1"/>
      <w:numFmt w:val="decimal"/>
      <w:pStyle w:val="10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CE42AC1"/>
    <w:multiLevelType w:val="multilevel"/>
    <w:tmpl w:val="6CE42AC1"/>
    <w:lvl w:ilvl="0" w:tentative="0">
      <w:start w:val="1"/>
      <w:numFmt w:val="lowerLetter"/>
      <w:pStyle w:val="18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CEA2025"/>
    <w:multiLevelType w:val="multilevel"/>
    <w:tmpl w:val="6CEA2025"/>
    <w:lvl w:ilvl="0" w:tentative="0">
      <w:start w:val="1"/>
      <w:numFmt w:val="none"/>
      <w:pStyle w:val="159"/>
      <w:suff w:val="nothing"/>
      <w:lvlText w:val="%1"/>
      <w:lvlJc w:val="left"/>
      <w:pPr>
        <w:ind w:left="0" w:firstLine="0"/>
      </w:pPr>
      <w:rPr>
        <w:rFonts w:hint="eastAsia"/>
      </w:rPr>
    </w:lvl>
    <w:lvl w:ilvl="1" w:tentative="0">
      <w:start w:val="1"/>
      <w:numFmt w:val="decimal"/>
      <w:pStyle w:val="113"/>
      <w:suff w:val="nothing"/>
      <w:lvlText w:val="%1%2　"/>
      <w:lvlJc w:val="left"/>
      <w:pPr>
        <w:ind w:left="0" w:firstLine="0"/>
      </w:pPr>
      <w:rPr>
        <w:rFonts w:hint="eastAsia" w:ascii="黑体" w:eastAsia="黑体"/>
        <w:b w:val="0"/>
        <w:i w:val="0"/>
        <w:sz w:val="21"/>
      </w:rPr>
    </w:lvl>
    <w:lvl w:ilvl="2" w:tentative="0">
      <w:start w:val="1"/>
      <w:numFmt w:val="decimal"/>
      <w:pStyle w:val="114"/>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79"/>
      <w:suff w:val="nothing"/>
      <w:lvlText w:val="%1%2.%3.%4　"/>
      <w:lvlJc w:val="left"/>
      <w:pPr>
        <w:ind w:left="0" w:firstLine="0"/>
      </w:pPr>
      <w:rPr>
        <w:rFonts w:hint="eastAsia" w:ascii="黑体" w:eastAsia="黑体"/>
        <w:b w:val="0"/>
        <w:i w:val="0"/>
        <w:sz w:val="21"/>
      </w:rPr>
    </w:lvl>
    <w:lvl w:ilvl="4" w:tentative="0">
      <w:start w:val="1"/>
      <w:numFmt w:val="decimal"/>
      <w:pStyle w:val="106"/>
      <w:suff w:val="nothing"/>
      <w:lvlText w:val="%1%2.%3.%4.%5　"/>
      <w:lvlJc w:val="left"/>
      <w:pPr>
        <w:ind w:left="1843" w:firstLine="0"/>
      </w:pPr>
      <w:rPr>
        <w:rFonts w:hint="default" w:ascii="黑体" w:eastAsia="黑体"/>
        <w:b w:val="0"/>
        <w:i w:val="0"/>
        <w:color w:val="auto"/>
        <w:sz w:val="21"/>
      </w:rPr>
    </w:lvl>
    <w:lvl w:ilvl="5" w:tentative="0">
      <w:start w:val="1"/>
      <w:numFmt w:val="decimal"/>
      <w:pStyle w:val="109"/>
      <w:suff w:val="nothing"/>
      <w:lvlText w:val="%1%2.%3.%4.%5.%6　"/>
      <w:lvlJc w:val="left"/>
      <w:pPr>
        <w:ind w:left="0" w:firstLine="0"/>
      </w:pPr>
      <w:rPr>
        <w:rFonts w:hint="eastAsia" w:ascii="黑体" w:eastAsia="黑体"/>
        <w:b w:val="0"/>
        <w:i w:val="0"/>
        <w:sz w:val="21"/>
      </w:rPr>
    </w:lvl>
    <w:lvl w:ilvl="6" w:tentative="0">
      <w:start w:val="1"/>
      <w:numFmt w:val="decimal"/>
      <w:pStyle w:val="112"/>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4">
    <w:nsid w:val="6DBF04F4"/>
    <w:multiLevelType w:val="multilevel"/>
    <w:tmpl w:val="6DBF04F4"/>
    <w:lvl w:ilvl="0" w:tentative="0">
      <w:start w:val="1"/>
      <w:numFmt w:val="none"/>
      <w:pStyle w:val="186"/>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5">
    <w:nsid w:val="6DF35F19"/>
    <w:multiLevelType w:val="multilevel"/>
    <w:tmpl w:val="6DF35F19"/>
    <w:lvl w:ilvl="0" w:tentative="0">
      <w:start w:val="1"/>
      <w:numFmt w:val="decimal"/>
      <w:pStyle w:val="124"/>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6">
    <w:nsid w:val="76933334"/>
    <w:multiLevelType w:val="multilevel"/>
    <w:tmpl w:val="76933334"/>
    <w:lvl w:ilvl="0" w:tentative="0">
      <w:start w:val="1"/>
      <w:numFmt w:val="none"/>
      <w:pStyle w:val="146"/>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33"/>
  </w:num>
  <w:num w:numId="4">
    <w:abstractNumId w:val="10"/>
  </w:num>
  <w:num w:numId="5">
    <w:abstractNumId w:val="29"/>
  </w:num>
  <w:num w:numId="6">
    <w:abstractNumId w:val="24"/>
  </w:num>
  <w:num w:numId="7">
    <w:abstractNumId w:val="19"/>
  </w:num>
  <w:num w:numId="8">
    <w:abstractNumId w:val="13"/>
  </w:num>
  <w:num w:numId="9">
    <w:abstractNumId w:val="8"/>
  </w:num>
  <w:num w:numId="10">
    <w:abstractNumId w:val="14"/>
  </w:num>
  <w:num w:numId="11">
    <w:abstractNumId w:val="22"/>
  </w:num>
  <w:num w:numId="12">
    <w:abstractNumId w:val="31"/>
  </w:num>
  <w:num w:numId="13">
    <w:abstractNumId w:val="17"/>
  </w:num>
  <w:num w:numId="14">
    <w:abstractNumId w:val="18"/>
  </w:num>
  <w:num w:numId="15">
    <w:abstractNumId w:val="12"/>
  </w:num>
  <w:num w:numId="16">
    <w:abstractNumId w:val="25"/>
  </w:num>
  <w:num w:numId="17">
    <w:abstractNumId w:val="27"/>
  </w:num>
  <w:num w:numId="18">
    <w:abstractNumId w:val="23"/>
  </w:num>
  <w:num w:numId="19">
    <w:abstractNumId w:val="35"/>
  </w:num>
  <w:num w:numId="20">
    <w:abstractNumId w:val="21"/>
  </w:num>
  <w:num w:numId="21">
    <w:abstractNumId w:val="6"/>
  </w:num>
  <w:num w:numId="22">
    <w:abstractNumId w:val="16"/>
  </w:num>
  <w:num w:numId="23">
    <w:abstractNumId w:val="36"/>
  </w:num>
  <w:num w:numId="24">
    <w:abstractNumId w:val="26"/>
  </w:num>
  <w:num w:numId="25">
    <w:abstractNumId w:val="11"/>
  </w:num>
  <w:num w:numId="26">
    <w:abstractNumId w:val="32"/>
  </w:num>
  <w:num w:numId="27">
    <w:abstractNumId w:val="34"/>
  </w:num>
  <w:num w:numId="28">
    <w:abstractNumId w:val="7"/>
  </w:num>
  <w:num w:numId="29">
    <w:abstractNumId w:val="9"/>
  </w:num>
  <w:num w:numId="30">
    <w:abstractNumId w:val="20"/>
  </w:num>
  <w:num w:numId="31">
    <w:abstractNumId w:val="30"/>
  </w:num>
  <w:num w:numId="32">
    <w:abstractNumId w:val="28"/>
  </w:num>
  <w:num w:numId="33">
    <w:abstractNumId w:val="15"/>
  </w:num>
  <w:num w:numId="34">
    <w:abstractNumId w:val="0"/>
  </w:num>
  <w:num w:numId="35">
    <w:abstractNumId w:val="1"/>
  </w:num>
  <w:num w:numId="36">
    <w:abstractNumId w:val="4"/>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attachedTemplate r:id="rId1"/>
  <w:documentProtection w:edit="readOnly" w:enforcement="0"/>
  <w:defaultTabStop w:val="0"/>
  <w:hyphenationZone w:val="360"/>
  <w:drawingGridHorizontalSpacing w:val="105"/>
  <w:drawingGridVerticalSpacing w:val="160"/>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I3MzY4MTI0Yzc3OTJmODQ3MjFjZTUzYmEwNmQifQ=="/>
  </w:docVars>
  <w:rsids>
    <w:rsidRoot w:val="00066C3C"/>
    <w:rsid w:val="0000040A"/>
    <w:rsid w:val="00000A94"/>
    <w:rsid w:val="00001972"/>
    <w:rsid w:val="00001D9A"/>
    <w:rsid w:val="00007B3A"/>
    <w:rsid w:val="000107E0"/>
    <w:rsid w:val="00011FDE"/>
    <w:rsid w:val="00012FFD"/>
    <w:rsid w:val="00014162"/>
    <w:rsid w:val="00014340"/>
    <w:rsid w:val="00015691"/>
    <w:rsid w:val="00016A9C"/>
    <w:rsid w:val="00020C7D"/>
    <w:rsid w:val="00021C75"/>
    <w:rsid w:val="00022184"/>
    <w:rsid w:val="00022762"/>
    <w:rsid w:val="000238E0"/>
    <w:rsid w:val="000249DB"/>
    <w:rsid w:val="00025779"/>
    <w:rsid w:val="0002595E"/>
    <w:rsid w:val="00027FDE"/>
    <w:rsid w:val="000303C3"/>
    <w:rsid w:val="000331D3"/>
    <w:rsid w:val="000336AE"/>
    <w:rsid w:val="000346A5"/>
    <w:rsid w:val="000359C3"/>
    <w:rsid w:val="00035A7D"/>
    <w:rsid w:val="00036166"/>
    <w:rsid w:val="0004249A"/>
    <w:rsid w:val="00043282"/>
    <w:rsid w:val="00044286"/>
    <w:rsid w:val="00047F28"/>
    <w:rsid w:val="000503AA"/>
    <w:rsid w:val="000506A1"/>
    <w:rsid w:val="000515DD"/>
    <w:rsid w:val="0005265A"/>
    <w:rsid w:val="000539DD"/>
    <w:rsid w:val="00053BD3"/>
    <w:rsid w:val="000556ED"/>
    <w:rsid w:val="00055FE2"/>
    <w:rsid w:val="0005616F"/>
    <w:rsid w:val="00056483"/>
    <w:rsid w:val="00060030"/>
    <w:rsid w:val="00060C2E"/>
    <w:rsid w:val="00061033"/>
    <w:rsid w:val="000619E9"/>
    <w:rsid w:val="000622D4"/>
    <w:rsid w:val="00062B24"/>
    <w:rsid w:val="0006357D"/>
    <w:rsid w:val="00066C3C"/>
    <w:rsid w:val="00067E4E"/>
    <w:rsid w:val="00067F1E"/>
    <w:rsid w:val="00071CC0"/>
    <w:rsid w:val="00073C8C"/>
    <w:rsid w:val="00077B64"/>
    <w:rsid w:val="00080A1C"/>
    <w:rsid w:val="00082317"/>
    <w:rsid w:val="00083D2C"/>
    <w:rsid w:val="00086AA1"/>
    <w:rsid w:val="00087A77"/>
    <w:rsid w:val="00090CA6"/>
    <w:rsid w:val="00092B8A"/>
    <w:rsid w:val="00092FB0"/>
    <w:rsid w:val="00093107"/>
    <w:rsid w:val="000934C5"/>
    <w:rsid w:val="00093D25"/>
    <w:rsid w:val="00094D73"/>
    <w:rsid w:val="00096D63"/>
    <w:rsid w:val="000A08CE"/>
    <w:rsid w:val="000A0B60"/>
    <w:rsid w:val="000A0EB8"/>
    <w:rsid w:val="000A19FC"/>
    <w:rsid w:val="000A296B"/>
    <w:rsid w:val="000A7311"/>
    <w:rsid w:val="000B060F"/>
    <w:rsid w:val="000B1592"/>
    <w:rsid w:val="000B1FF2"/>
    <w:rsid w:val="000B274A"/>
    <w:rsid w:val="000B3CDA"/>
    <w:rsid w:val="000B6A0B"/>
    <w:rsid w:val="000C0F6C"/>
    <w:rsid w:val="000C11DB"/>
    <w:rsid w:val="000C2FBD"/>
    <w:rsid w:val="000C3E10"/>
    <w:rsid w:val="000C4B41"/>
    <w:rsid w:val="000C57D6"/>
    <w:rsid w:val="000C5E88"/>
    <w:rsid w:val="000C7666"/>
    <w:rsid w:val="000D0A9C"/>
    <w:rsid w:val="000D1795"/>
    <w:rsid w:val="000D329A"/>
    <w:rsid w:val="000D412D"/>
    <w:rsid w:val="000D4A2F"/>
    <w:rsid w:val="000D4B9C"/>
    <w:rsid w:val="000D4EB6"/>
    <w:rsid w:val="000D753B"/>
    <w:rsid w:val="000E4C9E"/>
    <w:rsid w:val="000E5571"/>
    <w:rsid w:val="000E6FD7"/>
    <w:rsid w:val="000F06E1"/>
    <w:rsid w:val="000F0E3C"/>
    <w:rsid w:val="000F19D5"/>
    <w:rsid w:val="000F2E41"/>
    <w:rsid w:val="000F3871"/>
    <w:rsid w:val="000F4AEA"/>
    <w:rsid w:val="000F6501"/>
    <w:rsid w:val="000F67E9"/>
    <w:rsid w:val="001016A7"/>
    <w:rsid w:val="00104926"/>
    <w:rsid w:val="00113B1E"/>
    <w:rsid w:val="00114218"/>
    <w:rsid w:val="00116DD5"/>
    <w:rsid w:val="0011711C"/>
    <w:rsid w:val="00124E4F"/>
    <w:rsid w:val="001260B7"/>
    <w:rsid w:val="001265CB"/>
    <w:rsid w:val="0012693B"/>
    <w:rsid w:val="001321C6"/>
    <w:rsid w:val="001325C4"/>
    <w:rsid w:val="00133010"/>
    <w:rsid w:val="001337A1"/>
    <w:rsid w:val="001338EE"/>
    <w:rsid w:val="00133AAE"/>
    <w:rsid w:val="00135323"/>
    <w:rsid w:val="001356C4"/>
    <w:rsid w:val="00141114"/>
    <w:rsid w:val="001425C9"/>
    <w:rsid w:val="00142969"/>
    <w:rsid w:val="001457E7"/>
    <w:rsid w:val="00145D9D"/>
    <w:rsid w:val="00146388"/>
    <w:rsid w:val="001529E5"/>
    <w:rsid w:val="00153C7E"/>
    <w:rsid w:val="00154D22"/>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A9E"/>
    <w:rsid w:val="00183707"/>
    <w:rsid w:val="00184916"/>
    <w:rsid w:val="001852C9"/>
    <w:rsid w:val="00190087"/>
    <w:rsid w:val="001907CD"/>
    <w:rsid w:val="001913C4"/>
    <w:rsid w:val="0019348F"/>
    <w:rsid w:val="00193A07"/>
    <w:rsid w:val="00194C95"/>
    <w:rsid w:val="00195C34"/>
    <w:rsid w:val="001A1A53"/>
    <w:rsid w:val="001A234A"/>
    <w:rsid w:val="001B06E8"/>
    <w:rsid w:val="001B71D0"/>
    <w:rsid w:val="001B71EE"/>
    <w:rsid w:val="001C04A8"/>
    <w:rsid w:val="001C2C03"/>
    <w:rsid w:val="001C4126"/>
    <w:rsid w:val="001C42F7"/>
    <w:rsid w:val="001C49E5"/>
    <w:rsid w:val="001C680C"/>
    <w:rsid w:val="001C7FEA"/>
    <w:rsid w:val="001D0499"/>
    <w:rsid w:val="001D0AEF"/>
    <w:rsid w:val="001D0BBE"/>
    <w:rsid w:val="001D0ED4"/>
    <w:rsid w:val="001D176D"/>
    <w:rsid w:val="001D1C53"/>
    <w:rsid w:val="001D212F"/>
    <w:rsid w:val="001D29D7"/>
    <w:rsid w:val="001D2DE7"/>
    <w:rsid w:val="001D411C"/>
    <w:rsid w:val="001E0FA0"/>
    <w:rsid w:val="001E1B6A"/>
    <w:rsid w:val="001E2484"/>
    <w:rsid w:val="001E3CC4"/>
    <w:rsid w:val="001E4882"/>
    <w:rsid w:val="001E6F41"/>
    <w:rsid w:val="001E73AB"/>
    <w:rsid w:val="001F092D"/>
    <w:rsid w:val="001F143A"/>
    <w:rsid w:val="001F1605"/>
    <w:rsid w:val="001F2508"/>
    <w:rsid w:val="001F4816"/>
    <w:rsid w:val="001F69B4"/>
    <w:rsid w:val="001F77C7"/>
    <w:rsid w:val="00200183"/>
    <w:rsid w:val="0020107D"/>
    <w:rsid w:val="00201D5D"/>
    <w:rsid w:val="00202AA4"/>
    <w:rsid w:val="002031F7"/>
    <w:rsid w:val="002040E6"/>
    <w:rsid w:val="0020527B"/>
    <w:rsid w:val="00205939"/>
    <w:rsid w:val="00210B15"/>
    <w:rsid w:val="002142EA"/>
    <w:rsid w:val="002147AF"/>
    <w:rsid w:val="002204BB"/>
    <w:rsid w:val="00221B79"/>
    <w:rsid w:val="00221C6B"/>
    <w:rsid w:val="002253A1"/>
    <w:rsid w:val="00225CF8"/>
    <w:rsid w:val="0022794E"/>
    <w:rsid w:val="00233D64"/>
    <w:rsid w:val="0023482A"/>
    <w:rsid w:val="002359CB"/>
    <w:rsid w:val="0023695A"/>
    <w:rsid w:val="00237C2F"/>
    <w:rsid w:val="00243540"/>
    <w:rsid w:val="0024497B"/>
    <w:rsid w:val="0024515B"/>
    <w:rsid w:val="00246021"/>
    <w:rsid w:val="0024666E"/>
    <w:rsid w:val="00247F52"/>
    <w:rsid w:val="00250B25"/>
    <w:rsid w:val="00250BBE"/>
    <w:rsid w:val="0025194F"/>
    <w:rsid w:val="0025288B"/>
    <w:rsid w:val="0026148A"/>
    <w:rsid w:val="00262696"/>
    <w:rsid w:val="002643C3"/>
    <w:rsid w:val="00264A0C"/>
    <w:rsid w:val="00267EF4"/>
    <w:rsid w:val="00270CB8"/>
    <w:rsid w:val="00272B08"/>
    <w:rsid w:val="00275564"/>
    <w:rsid w:val="00281BB8"/>
    <w:rsid w:val="00281E9E"/>
    <w:rsid w:val="00283CA5"/>
    <w:rsid w:val="00285170"/>
    <w:rsid w:val="00285361"/>
    <w:rsid w:val="0028683C"/>
    <w:rsid w:val="00292D60"/>
    <w:rsid w:val="00294D34"/>
    <w:rsid w:val="00294E3B"/>
    <w:rsid w:val="00295781"/>
    <w:rsid w:val="00296193"/>
    <w:rsid w:val="00296C66"/>
    <w:rsid w:val="00296EBE"/>
    <w:rsid w:val="002974E3"/>
    <w:rsid w:val="00297F5F"/>
    <w:rsid w:val="002A084B"/>
    <w:rsid w:val="002A1260"/>
    <w:rsid w:val="002A1589"/>
    <w:rsid w:val="002A1608"/>
    <w:rsid w:val="002A16AD"/>
    <w:rsid w:val="002A25DC"/>
    <w:rsid w:val="002A3AAB"/>
    <w:rsid w:val="002A4CEA"/>
    <w:rsid w:val="002A5977"/>
    <w:rsid w:val="002A5A13"/>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D23"/>
    <w:rsid w:val="002D6EC6"/>
    <w:rsid w:val="002D79AC"/>
    <w:rsid w:val="002E039D"/>
    <w:rsid w:val="002E4D5A"/>
    <w:rsid w:val="002E6326"/>
    <w:rsid w:val="002E6FB9"/>
    <w:rsid w:val="002F0D32"/>
    <w:rsid w:val="002F189A"/>
    <w:rsid w:val="002F1AB0"/>
    <w:rsid w:val="002F30E0"/>
    <w:rsid w:val="002F35E4"/>
    <w:rsid w:val="002F3730"/>
    <w:rsid w:val="002F38E1"/>
    <w:rsid w:val="002F596F"/>
    <w:rsid w:val="002F7AF6"/>
    <w:rsid w:val="00300E63"/>
    <w:rsid w:val="00302F5F"/>
    <w:rsid w:val="0030441D"/>
    <w:rsid w:val="003051E4"/>
    <w:rsid w:val="00306063"/>
    <w:rsid w:val="00307B65"/>
    <w:rsid w:val="0031195C"/>
    <w:rsid w:val="0031295C"/>
    <w:rsid w:val="00313B85"/>
    <w:rsid w:val="00314BDF"/>
    <w:rsid w:val="00317988"/>
    <w:rsid w:val="003221B4"/>
    <w:rsid w:val="0032223E"/>
    <w:rsid w:val="00322E62"/>
    <w:rsid w:val="00324EDD"/>
    <w:rsid w:val="00326E36"/>
    <w:rsid w:val="00330573"/>
    <w:rsid w:val="00336C64"/>
    <w:rsid w:val="00337162"/>
    <w:rsid w:val="0034024B"/>
    <w:rsid w:val="0034194F"/>
    <w:rsid w:val="00343070"/>
    <w:rsid w:val="00344605"/>
    <w:rsid w:val="003474AA"/>
    <w:rsid w:val="00350D1D"/>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5C86"/>
    <w:rsid w:val="00395D25"/>
    <w:rsid w:val="003974EB"/>
    <w:rsid w:val="00397CC5"/>
    <w:rsid w:val="003A1582"/>
    <w:rsid w:val="003A2938"/>
    <w:rsid w:val="003A4077"/>
    <w:rsid w:val="003A4E9D"/>
    <w:rsid w:val="003A51A7"/>
    <w:rsid w:val="003B09AD"/>
    <w:rsid w:val="003B1F18"/>
    <w:rsid w:val="003B5BF0"/>
    <w:rsid w:val="003B60BF"/>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E4DE4"/>
    <w:rsid w:val="003E5733"/>
    <w:rsid w:val="003F0841"/>
    <w:rsid w:val="003F0DF7"/>
    <w:rsid w:val="003F23D3"/>
    <w:rsid w:val="003F3F08"/>
    <w:rsid w:val="003F49F1"/>
    <w:rsid w:val="003F563F"/>
    <w:rsid w:val="003F6272"/>
    <w:rsid w:val="00400E72"/>
    <w:rsid w:val="00401400"/>
    <w:rsid w:val="0040257C"/>
    <w:rsid w:val="00404869"/>
    <w:rsid w:val="00405884"/>
    <w:rsid w:val="00407D39"/>
    <w:rsid w:val="00410D66"/>
    <w:rsid w:val="00413A7A"/>
    <w:rsid w:val="0041477A"/>
    <w:rsid w:val="004167A3"/>
    <w:rsid w:val="00417DDD"/>
    <w:rsid w:val="004263A8"/>
    <w:rsid w:val="00432DAA"/>
    <w:rsid w:val="00434305"/>
    <w:rsid w:val="004347D3"/>
    <w:rsid w:val="00435DF7"/>
    <w:rsid w:val="0044083F"/>
    <w:rsid w:val="004417A9"/>
    <w:rsid w:val="00441AE7"/>
    <w:rsid w:val="00445574"/>
    <w:rsid w:val="004467FB"/>
    <w:rsid w:val="00452D6B"/>
    <w:rsid w:val="00454484"/>
    <w:rsid w:val="0045517B"/>
    <w:rsid w:val="00462A74"/>
    <w:rsid w:val="00463B77"/>
    <w:rsid w:val="00463C7B"/>
    <w:rsid w:val="004644A6"/>
    <w:rsid w:val="004659BD"/>
    <w:rsid w:val="004664A1"/>
    <w:rsid w:val="004702B6"/>
    <w:rsid w:val="00470775"/>
    <w:rsid w:val="004746B1"/>
    <w:rsid w:val="0047583F"/>
    <w:rsid w:val="00476335"/>
    <w:rsid w:val="00480256"/>
    <w:rsid w:val="00484936"/>
    <w:rsid w:val="00485C89"/>
    <w:rsid w:val="00486BE3"/>
    <w:rsid w:val="004905E4"/>
    <w:rsid w:val="00490A89"/>
    <w:rsid w:val="00490AB4"/>
    <w:rsid w:val="00492F02"/>
    <w:rsid w:val="004939AE"/>
    <w:rsid w:val="00495593"/>
    <w:rsid w:val="004A12DF"/>
    <w:rsid w:val="004A1BA8"/>
    <w:rsid w:val="004A4B57"/>
    <w:rsid w:val="004A63FA"/>
    <w:rsid w:val="004A6698"/>
    <w:rsid w:val="004B2701"/>
    <w:rsid w:val="004B2840"/>
    <w:rsid w:val="004B2E1B"/>
    <w:rsid w:val="004B3E93"/>
    <w:rsid w:val="004B508A"/>
    <w:rsid w:val="004C1FBC"/>
    <w:rsid w:val="004C3220"/>
    <w:rsid w:val="004C3F1D"/>
    <w:rsid w:val="004C458D"/>
    <w:rsid w:val="004C6254"/>
    <w:rsid w:val="004C6FD1"/>
    <w:rsid w:val="004C7556"/>
    <w:rsid w:val="004C7E9D"/>
    <w:rsid w:val="004C7F67"/>
    <w:rsid w:val="004D076D"/>
    <w:rsid w:val="004D0EF1"/>
    <w:rsid w:val="004D2253"/>
    <w:rsid w:val="004D3569"/>
    <w:rsid w:val="004D4406"/>
    <w:rsid w:val="004D7C42"/>
    <w:rsid w:val="004E0465"/>
    <w:rsid w:val="004E0B84"/>
    <w:rsid w:val="004E127B"/>
    <w:rsid w:val="004E1C0A"/>
    <w:rsid w:val="004E30C5"/>
    <w:rsid w:val="004E4AA5"/>
    <w:rsid w:val="004E4AEE"/>
    <w:rsid w:val="004E59E3"/>
    <w:rsid w:val="004E67C0"/>
    <w:rsid w:val="004E7DBA"/>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1CB1"/>
    <w:rsid w:val="005220EC"/>
    <w:rsid w:val="00523F95"/>
    <w:rsid w:val="00524D65"/>
    <w:rsid w:val="00525B16"/>
    <w:rsid w:val="00527F6E"/>
    <w:rsid w:val="00533D04"/>
    <w:rsid w:val="00533FCF"/>
    <w:rsid w:val="00534804"/>
    <w:rsid w:val="00534BDF"/>
    <w:rsid w:val="005354EA"/>
    <w:rsid w:val="00535EC4"/>
    <w:rsid w:val="00535ED9"/>
    <w:rsid w:val="0053692B"/>
    <w:rsid w:val="00541853"/>
    <w:rsid w:val="00543BDA"/>
    <w:rsid w:val="005441CC"/>
    <w:rsid w:val="00545BB8"/>
    <w:rsid w:val="005473D1"/>
    <w:rsid w:val="005479DA"/>
    <w:rsid w:val="00547BCC"/>
    <w:rsid w:val="0055013B"/>
    <w:rsid w:val="00551F6F"/>
    <w:rsid w:val="00555044"/>
    <w:rsid w:val="00561475"/>
    <w:rsid w:val="0056487B"/>
    <w:rsid w:val="00564FB9"/>
    <w:rsid w:val="00573D9E"/>
    <w:rsid w:val="00573EC5"/>
    <w:rsid w:val="005801E3"/>
    <w:rsid w:val="00581802"/>
    <w:rsid w:val="005836A8"/>
    <w:rsid w:val="00584262"/>
    <w:rsid w:val="00584F37"/>
    <w:rsid w:val="00586630"/>
    <w:rsid w:val="00586D68"/>
    <w:rsid w:val="005872C9"/>
    <w:rsid w:val="00587ADD"/>
    <w:rsid w:val="00596160"/>
    <w:rsid w:val="005966E2"/>
    <w:rsid w:val="00597007"/>
    <w:rsid w:val="005A0966"/>
    <w:rsid w:val="005A11B7"/>
    <w:rsid w:val="005A1ED3"/>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2854"/>
    <w:rsid w:val="005D3193"/>
    <w:rsid w:val="005D4171"/>
    <w:rsid w:val="005D5E43"/>
    <w:rsid w:val="005D6A95"/>
    <w:rsid w:val="005D6B2C"/>
    <w:rsid w:val="005D6D9C"/>
    <w:rsid w:val="005E2335"/>
    <w:rsid w:val="005E34CA"/>
    <w:rsid w:val="005E3C18"/>
    <w:rsid w:val="005E7881"/>
    <w:rsid w:val="005E78E0"/>
    <w:rsid w:val="005F0D9C"/>
    <w:rsid w:val="005F284E"/>
    <w:rsid w:val="006002B2"/>
    <w:rsid w:val="006015CE"/>
    <w:rsid w:val="006016A3"/>
    <w:rsid w:val="00604784"/>
    <w:rsid w:val="00606419"/>
    <w:rsid w:val="00607D29"/>
    <w:rsid w:val="00612952"/>
    <w:rsid w:val="00614CC1"/>
    <w:rsid w:val="00615A9D"/>
    <w:rsid w:val="006162BE"/>
    <w:rsid w:val="00616BBB"/>
    <w:rsid w:val="00617387"/>
    <w:rsid w:val="006252D8"/>
    <w:rsid w:val="006259BC"/>
    <w:rsid w:val="0062636B"/>
    <w:rsid w:val="00626922"/>
    <w:rsid w:val="00626BC8"/>
    <w:rsid w:val="00627D52"/>
    <w:rsid w:val="00632182"/>
    <w:rsid w:val="00632AE0"/>
    <w:rsid w:val="00633C17"/>
    <w:rsid w:val="00636E3E"/>
    <w:rsid w:val="006379F7"/>
    <w:rsid w:val="00637E4D"/>
    <w:rsid w:val="00640620"/>
    <w:rsid w:val="00641A1F"/>
    <w:rsid w:val="00642030"/>
    <w:rsid w:val="00643164"/>
    <w:rsid w:val="00645904"/>
    <w:rsid w:val="00651ACB"/>
    <w:rsid w:val="00651C47"/>
    <w:rsid w:val="00652AB2"/>
    <w:rsid w:val="00654EC0"/>
    <w:rsid w:val="0065525B"/>
    <w:rsid w:val="00655D4F"/>
    <w:rsid w:val="006640E5"/>
    <w:rsid w:val="006646F1"/>
    <w:rsid w:val="00664929"/>
    <w:rsid w:val="00664F62"/>
    <w:rsid w:val="006655E1"/>
    <w:rsid w:val="006710A9"/>
    <w:rsid w:val="00672060"/>
    <w:rsid w:val="00672BFD"/>
    <w:rsid w:val="00672D87"/>
    <w:rsid w:val="006770F4"/>
    <w:rsid w:val="00677A84"/>
    <w:rsid w:val="0068026D"/>
    <w:rsid w:val="00680A27"/>
    <w:rsid w:val="006816A4"/>
    <w:rsid w:val="006819B8"/>
    <w:rsid w:val="006840A6"/>
    <w:rsid w:val="006850CD"/>
    <w:rsid w:val="00685AAB"/>
    <w:rsid w:val="006916B6"/>
    <w:rsid w:val="00691DF3"/>
    <w:rsid w:val="00694FD8"/>
    <w:rsid w:val="006A07AA"/>
    <w:rsid w:val="006A25E5"/>
    <w:rsid w:val="006A2B46"/>
    <w:rsid w:val="006A336D"/>
    <w:rsid w:val="006A37B9"/>
    <w:rsid w:val="006B2672"/>
    <w:rsid w:val="006B4DB4"/>
    <w:rsid w:val="006B54BF"/>
    <w:rsid w:val="006B5F44"/>
    <w:rsid w:val="006B5F90"/>
    <w:rsid w:val="006B62E4"/>
    <w:rsid w:val="006C1BBA"/>
    <w:rsid w:val="006C2079"/>
    <w:rsid w:val="006C44E2"/>
    <w:rsid w:val="006C5A62"/>
    <w:rsid w:val="006C5D68"/>
    <w:rsid w:val="006C6976"/>
    <w:rsid w:val="006C6DD0"/>
    <w:rsid w:val="006D04EA"/>
    <w:rsid w:val="006D16C4"/>
    <w:rsid w:val="006D3E96"/>
    <w:rsid w:val="006D4515"/>
    <w:rsid w:val="006D4BB1"/>
    <w:rsid w:val="006D6593"/>
    <w:rsid w:val="006F000A"/>
    <w:rsid w:val="006F03A8"/>
    <w:rsid w:val="006F2ACA"/>
    <w:rsid w:val="006F2ADC"/>
    <w:rsid w:val="006F2BFE"/>
    <w:rsid w:val="006F31E9"/>
    <w:rsid w:val="006F4431"/>
    <w:rsid w:val="006F4B63"/>
    <w:rsid w:val="006F6284"/>
    <w:rsid w:val="007002C5"/>
    <w:rsid w:val="00704387"/>
    <w:rsid w:val="00704F5D"/>
    <w:rsid w:val="00707669"/>
    <w:rsid w:val="00711CBA"/>
    <w:rsid w:val="00711FB5"/>
    <w:rsid w:val="00712A01"/>
    <w:rsid w:val="00714F58"/>
    <w:rsid w:val="00717DD7"/>
    <w:rsid w:val="00722FBF"/>
    <w:rsid w:val="00722FC2"/>
    <w:rsid w:val="0072571C"/>
    <w:rsid w:val="00725949"/>
    <w:rsid w:val="00727FA2"/>
    <w:rsid w:val="007321C1"/>
    <w:rsid w:val="007322D9"/>
    <w:rsid w:val="00732BC0"/>
    <w:rsid w:val="0073720F"/>
    <w:rsid w:val="00737796"/>
    <w:rsid w:val="0074165C"/>
    <w:rsid w:val="007432CA"/>
    <w:rsid w:val="007439EB"/>
    <w:rsid w:val="00743CB4"/>
    <w:rsid w:val="00743F0A"/>
    <w:rsid w:val="007441EB"/>
    <w:rsid w:val="007444E8"/>
    <w:rsid w:val="0074548E"/>
    <w:rsid w:val="00745773"/>
    <w:rsid w:val="007466AA"/>
    <w:rsid w:val="00746800"/>
    <w:rsid w:val="007501A8"/>
    <w:rsid w:val="00750D03"/>
    <w:rsid w:val="00750EE1"/>
    <w:rsid w:val="00752652"/>
    <w:rsid w:val="00752B4D"/>
    <w:rsid w:val="00753D08"/>
    <w:rsid w:val="00754E70"/>
    <w:rsid w:val="00755402"/>
    <w:rsid w:val="00756B26"/>
    <w:rsid w:val="00756D08"/>
    <w:rsid w:val="00756EDF"/>
    <w:rsid w:val="007609A2"/>
    <w:rsid w:val="00765C43"/>
    <w:rsid w:val="00765EFB"/>
    <w:rsid w:val="00766905"/>
    <w:rsid w:val="007671CA"/>
    <w:rsid w:val="00767C61"/>
    <w:rsid w:val="0077008A"/>
    <w:rsid w:val="0077090B"/>
    <w:rsid w:val="00773C1F"/>
    <w:rsid w:val="00774DA4"/>
    <w:rsid w:val="00776599"/>
    <w:rsid w:val="0078114B"/>
    <w:rsid w:val="00781DD2"/>
    <w:rsid w:val="00783A3D"/>
    <w:rsid w:val="00783ECF"/>
    <w:rsid w:val="0078413A"/>
    <w:rsid w:val="007948EF"/>
    <w:rsid w:val="00795069"/>
    <w:rsid w:val="00795747"/>
    <w:rsid w:val="007959E8"/>
    <w:rsid w:val="00795E9C"/>
    <w:rsid w:val="007A0521"/>
    <w:rsid w:val="007A061E"/>
    <w:rsid w:val="007A0E83"/>
    <w:rsid w:val="007A2E12"/>
    <w:rsid w:val="007A3475"/>
    <w:rsid w:val="007A41C8"/>
    <w:rsid w:val="007A54CE"/>
    <w:rsid w:val="007A7FFA"/>
    <w:rsid w:val="007B04EB"/>
    <w:rsid w:val="007B0D4F"/>
    <w:rsid w:val="007B279F"/>
    <w:rsid w:val="007B5A3D"/>
    <w:rsid w:val="007B5B95"/>
    <w:rsid w:val="007B68EA"/>
    <w:rsid w:val="007C19E8"/>
    <w:rsid w:val="007C2D89"/>
    <w:rsid w:val="007C4593"/>
    <w:rsid w:val="007C5309"/>
    <w:rsid w:val="007C5376"/>
    <w:rsid w:val="007C6069"/>
    <w:rsid w:val="007D06C4"/>
    <w:rsid w:val="007D1352"/>
    <w:rsid w:val="007D2508"/>
    <w:rsid w:val="007D346A"/>
    <w:rsid w:val="007D6518"/>
    <w:rsid w:val="007D76BD"/>
    <w:rsid w:val="007E0BF1"/>
    <w:rsid w:val="007F0ED8"/>
    <w:rsid w:val="007F0F63"/>
    <w:rsid w:val="007F48E9"/>
    <w:rsid w:val="007F75CE"/>
    <w:rsid w:val="008013A4"/>
    <w:rsid w:val="008027CE"/>
    <w:rsid w:val="00802F42"/>
    <w:rsid w:val="00804383"/>
    <w:rsid w:val="00804BB7"/>
    <w:rsid w:val="00810257"/>
    <w:rsid w:val="008104F5"/>
    <w:rsid w:val="00811054"/>
    <w:rsid w:val="00811072"/>
    <w:rsid w:val="00811369"/>
    <w:rsid w:val="00813F1D"/>
    <w:rsid w:val="00814E50"/>
    <w:rsid w:val="00815419"/>
    <w:rsid w:val="008163C8"/>
    <w:rsid w:val="00817325"/>
    <w:rsid w:val="008209E6"/>
    <w:rsid w:val="00821E6E"/>
    <w:rsid w:val="00823303"/>
    <w:rsid w:val="008233B2"/>
    <w:rsid w:val="00823A9F"/>
    <w:rsid w:val="00823C85"/>
    <w:rsid w:val="00825138"/>
    <w:rsid w:val="008269DD"/>
    <w:rsid w:val="00830621"/>
    <w:rsid w:val="00832423"/>
    <w:rsid w:val="0083348C"/>
    <w:rsid w:val="008373D3"/>
    <w:rsid w:val="00840617"/>
    <w:rsid w:val="00840CD6"/>
    <w:rsid w:val="00842A47"/>
    <w:rsid w:val="00843C13"/>
    <w:rsid w:val="008454F8"/>
    <w:rsid w:val="0084617B"/>
    <w:rsid w:val="008506A3"/>
    <w:rsid w:val="00851342"/>
    <w:rsid w:val="0085173A"/>
    <w:rsid w:val="008517E6"/>
    <w:rsid w:val="008603CE"/>
    <w:rsid w:val="008620FC"/>
    <w:rsid w:val="008627A5"/>
    <w:rsid w:val="00863E05"/>
    <w:rsid w:val="00864E0B"/>
    <w:rsid w:val="00865ACA"/>
    <w:rsid w:val="00865D28"/>
    <w:rsid w:val="00865F85"/>
    <w:rsid w:val="00867C10"/>
    <w:rsid w:val="00870439"/>
    <w:rsid w:val="00870DA1"/>
    <w:rsid w:val="0087471E"/>
    <w:rsid w:val="00875479"/>
    <w:rsid w:val="008827E7"/>
    <w:rsid w:val="00883D60"/>
    <w:rsid w:val="00883F93"/>
    <w:rsid w:val="00884DB3"/>
    <w:rsid w:val="00885A9D"/>
    <w:rsid w:val="008864F6"/>
    <w:rsid w:val="0089049D"/>
    <w:rsid w:val="0089156E"/>
    <w:rsid w:val="008928C9"/>
    <w:rsid w:val="008938DC"/>
    <w:rsid w:val="00893FD1"/>
    <w:rsid w:val="00894836"/>
    <w:rsid w:val="00895172"/>
    <w:rsid w:val="00895680"/>
    <w:rsid w:val="00896DFF"/>
    <w:rsid w:val="0089762C"/>
    <w:rsid w:val="008A1893"/>
    <w:rsid w:val="008A4FDC"/>
    <w:rsid w:val="008A769A"/>
    <w:rsid w:val="008B0C9C"/>
    <w:rsid w:val="008B166D"/>
    <w:rsid w:val="008B17F4"/>
    <w:rsid w:val="008B3615"/>
    <w:rsid w:val="008B434A"/>
    <w:rsid w:val="008B4AC4"/>
    <w:rsid w:val="008B50C8"/>
    <w:rsid w:val="008B5281"/>
    <w:rsid w:val="008B547D"/>
    <w:rsid w:val="008B684F"/>
    <w:rsid w:val="008B7E05"/>
    <w:rsid w:val="008C1797"/>
    <w:rsid w:val="008C219C"/>
    <w:rsid w:val="008C2DF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923"/>
    <w:rsid w:val="008E6A84"/>
    <w:rsid w:val="008E75BC"/>
    <w:rsid w:val="008F0CDC"/>
    <w:rsid w:val="008F17A3"/>
    <w:rsid w:val="008F1ED3"/>
    <w:rsid w:val="008F4C29"/>
    <w:rsid w:val="008F70BD"/>
    <w:rsid w:val="008F788F"/>
    <w:rsid w:val="008F7EA2"/>
    <w:rsid w:val="00901A7B"/>
    <w:rsid w:val="00902722"/>
    <w:rsid w:val="009027BC"/>
    <w:rsid w:val="009062E6"/>
    <w:rsid w:val="00911BE5"/>
    <w:rsid w:val="00913CA9"/>
    <w:rsid w:val="009145AE"/>
    <w:rsid w:val="009146CE"/>
    <w:rsid w:val="00914CA7"/>
    <w:rsid w:val="00915C3E"/>
    <w:rsid w:val="009161A8"/>
    <w:rsid w:val="0091673D"/>
    <w:rsid w:val="00922EFC"/>
    <w:rsid w:val="009245F5"/>
    <w:rsid w:val="009249EC"/>
    <w:rsid w:val="009273B3"/>
    <w:rsid w:val="009305B5"/>
    <w:rsid w:val="00934C12"/>
    <w:rsid w:val="00941E22"/>
    <w:rsid w:val="009429D5"/>
    <w:rsid w:val="00942BF1"/>
    <w:rsid w:val="00945180"/>
    <w:rsid w:val="00945428"/>
    <w:rsid w:val="0094607B"/>
    <w:rsid w:val="00951FC3"/>
    <w:rsid w:val="00952C52"/>
    <w:rsid w:val="00953604"/>
    <w:rsid w:val="009610DC"/>
    <w:rsid w:val="00961490"/>
    <w:rsid w:val="00961B14"/>
    <w:rsid w:val="0096381A"/>
    <w:rsid w:val="00965E04"/>
    <w:rsid w:val="009674AD"/>
    <w:rsid w:val="0097094E"/>
    <w:rsid w:val="00970CDC"/>
    <w:rsid w:val="00971B15"/>
    <w:rsid w:val="00972552"/>
    <w:rsid w:val="00976008"/>
    <w:rsid w:val="00977010"/>
    <w:rsid w:val="00977D02"/>
    <w:rsid w:val="009809BB"/>
    <w:rsid w:val="00982D22"/>
    <w:rsid w:val="0098364B"/>
    <w:rsid w:val="00983BF9"/>
    <w:rsid w:val="00985065"/>
    <w:rsid w:val="009911AF"/>
    <w:rsid w:val="00991875"/>
    <w:rsid w:val="00991F92"/>
    <w:rsid w:val="00992985"/>
    <w:rsid w:val="00993889"/>
    <w:rsid w:val="0099551B"/>
    <w:rsid w:val="00997BF1"/>
    <w:rsid w:val="009A089C"/>
    <w:rsid w:val="009A118E"/>
    <w:rsid w:val="009A21CD"/>
    <w:rsid w:val="009A2627"/>
    <w:rsid w:val="009A278C"/>
    <w:rsid w:val="009A2BC2"/>
    <w:rsid w:val="009A3EEC"/>
    <w:rsid w:val="009A42C1"/>
    <w:rsid w:val="009A5429"/>
    <w:rsid w:val="009A72AD"/>
    <w:rsid w:val="009B09E0"/>
    <w:rsid w:val="009B0BC5"/>
    <w:rsid w:val="009B1247"/>
    <w:rsid w:val="009B6029"/>
    <w:rsid w:val="009B6971"/>
    <w:rsid w:val="009B765B"/>
    <w:rsid w:val="009C27F1"/>
    <w:rsid w:val="009C3152"/>
    <w:rsid w:val="009C4CFA"/>
    <w:rsid w:val="009C5070"/>
    <w:rsid w:val="009D112C"/>
    <w:rsid w:val="009D47FA"/>
    <w:rsid w:val="009D50D2"/>
    <w:rsid w:val="009D6BCA"/>
    <w:rsid w:val="009E0F62"/>
    <w:rsid w:val="009E305F"/>
    <w:rsid w:val="009E4A58"/>
    <w:rsid w:val="009E5A2D"/>
    <w:rsid w:val="009E5AB2"/>
    <w:rsid w:val="009E6219"/>
    <w:rsid w:val="009E64F1"/>
    <w:rsid w:val="009F03B3"/>
    <w:rsid w:val="009F4519"/>
    <w:rsid w:val="00A01757"/>
    <w:rsid w:val="00A028C0"/>
    <w:rsid w:val="00A02A21"/>
    <w:rsid w:val="00A02BAE"/>
    <w:rsid w:val="00A06A6B"/>
    <w:rsid w:val="00A07E47"/>
    <w:rsid w:val="00A129D0"/>
    <w:rsid w:val="00A12C33"/>
    <w:rsid w:val="00A138BA"/>
    <w:rsid w:val="00A14C8E"/>
    <w:rsid w:val="00A153D9"/>
    <w:rsid w:val="00A15F09"/>
    <w:rsid w:val="00A162DA"/>
    <w:rsid w:val="00A169B6"/>
    <w:rsid w:val="00A21BD9"/>
    <w:rsid w:val="00A2271D"/>
    <w:rsid w:val="00A236E5"/>
    <w:rsid w:val="00A237D5"/>
    <w:rsid w:val="00A23EC1"/>
    <w:rsid w:val="00A24F7B"/>
    <w:rsid w:val="00A2500A"/>
    <w:rsid w:val="00A30EFC"/>
    <w:rsid w:val="00A31984"/>
    <w:rsid w:val="00A32D73"/>
    <w:rsid w:val="00A32ECE"/>
    <w:rsid w:val="00A3367B"/>
    <w:rsid w:val="00A3597D"/>
    <w:rsid w:val="00A40091"/>
    <w:rsid w:val="00A4030F"/>
    <w:rsid w:val="00A41C79"/>
    <w:rsid w:val="00A41CB5"/>
    <w:rsid w:val="00A42CDF"/>
    <w:rsid w:val="00A42E6B"/>
    <w:rsid w:val="00A4452E"/>
    <w:rsid w:val="00A4472C"/>
    <w:rsid w:val="00A44E69"/>
    <w:rsid w:val="00A4661E"/>
    <w:rsid w:val="00A55BD6"/>
    <w:rsid w:val="00A55D50"/>
    <w:rsid w:val="00A57142"/>
    <w:rsid w:val="00A60FBF"/>
    <w:rsid w:val="00A6191A"/>
    <w:rsid w:val="00A648CD"/>
    <w:rsid w:val="00A6537A"/>
    <w:rsid w:val="00A67866"/>
    <w:rsid w:val="00A70B07"/>
    <w:rsid w:val="00A71842"/>
    <w:rsid w:val="00A723F8"/>
    <w:rsid w:val="00A7481D"/>
    <w:rsid w:val="00A77CCB"/>
    <w:rsid w:val="00A83D8D"/>
    <w:rsid w:val="00A8446B"/>
    <w:rsid w:val="00A8473F"/>
    <w:rsid w:val="00A862D6"/>
    <w:rsid w:val="00A86D3B"/>
    <w:rsid w:val="00A8715E"/>
    <w:rsid w:val="00A87F36"/>
    <w:rsid w:val="00A91669"/>
    <w:rsid w:val="00A927FC"/>
    <w:rsid w:val="00A9295B"/>
    <w:rsid w:val="00A93B09"/>
    <w:rsid w:val="00A952D7"/>
    <w:rsid w:val="00A963F7"/>
    <w:rsid w:val="00A96AD8"/>
    <w:rsid w:val="00A96B8B"/>
    <w:rsid w:val="00AA052C"/>
    <w:rsid w:val="00AA1E45"/>
    <w:rsid w:val="00AA2A24"/>
    <w:rsid w:val="00AA4286"/>
    <w:rsid w:val="00AA456B"/>
    <w:rsid w:val="00AA57F5"/>
    <w:rsid w:val="00AA672E"/>
    <w:rsid w:val="00AA6854"/>
    <w:rsid w:val="00AA6EC9"/>
    <w:rsid w:val="00AB6309"/>
    <w:rsid w:val="00AB6C5F"/>
    <w:rsid w:val="00AB7129"/>
    <w:rsid w:val="00AB793C"/>
    <w:rsid w:val="00AC27A6"/>
    <w:rsid w:val="00AC30F7"/>
    <w:rsid w:val="00AC3A5A"/>
    <w:rsid w:val="00AC4D95"/>
    <w:rsid w:val="00AC52B7"/>
    <w:rsid w:val="00AC5DF4"/>
    <w:rsid w:val="00AD0AEF"/>
    <w:rsid w:val="00AD11B7"/>
    <w:rsid w:val="00AD1A94"/>
    <w:rsid w:val="00AD1C05"/>
    <w:rsid w:val="00AD2278"/>
    <w:rsid w:val="00AD3367"/>
    <w:rsid w:val="00AD4126"/>
    <w:rsid w:val="00AD421C"/>
    <w:rsid w:val="00AD44FA"/>
    <w:rsid w:val="00AE070A"/>
    <w:rsid w:val="00AE101C"/>
    <w:rsid w:val="00AE2FE6"/>
    <w:rsid w:val="00AF0C18"/>
    <w:rsid w:val="00AF47C5"/>
    <w:rsid w:val="00AF5398"/>
    <w:rsid w:val="00B049AF"/>
    <w:rsid w:val="00B07242"/>
    <w:rsid w:val="00B10534"/>
    <w:rsid w:val="00B113DB"/>
    <w:rsid w:val="00B11D8A"/>
    <w:rsid w:val="00B12981"/>
    <w:rsid w:val="00B147DD"/>
    <w:rsid w:val="00B156FD"/>
    <w:rsid w:val="00B21F61"/>
    <w:rsid w:val="00B23045"/>
    <w:rsid w:val="00B23D14"/>
    <w:rsid w:val="00B261F1"/>
    <w:rsid w:val="00B265BC"/>
    <w:rsid w:val="00B31FB1"/>
    <w:rsid w:val="00B33952"/>
    <w:rsid w:val="00B33C5E"/>
    <w:rsid w:val="00B342F4"/>
    <w:rsid w:val="00B34369"/>
    <w:rsid w:val="00B34DC2"/>
    <w:rsid w:val="00B34EC4"/>
    <w:rsid w:val="00B36DBA"/>
    <w:rsid w:val="00B378E5"/>
    <w:rsid w:val="00B4346D"/>
    <w:rsid w:val="00B440F4"/>
    <w:rsid w:val="00B447A5"/>
    <w:rsid w:val="00B4654C"/>
    <w:rsid w:val="00B47293"/>
    <w:rsid w:val="00B52120"/>
    <w:rsid w:val="00B54ABC"/>
    <w:rsid w:val="00B56FBE"/>
    <w:rsid w:val="00B62B58"/>
    <w:rsid w:val="00B65149"/>
    <w:rsid w:val="00B66567"/>
    <w:rsid w:val="00B66F52"/>
    <w:rsid w:val="00B66FE5"/>
    <w:rsid w:val="00B675B7"/>
    <w:rsid w:val="00B72880"/>
    <w:rsid w:val="00B758BF"/>
    <w:rsid w:val="00B827A6"/>
    <w:rsid w:val="00B831CE"/>
    <w:rsid w:val="00B86677"/>
    <w:rsid w:val="00B87131"/>
    <w:rsid w:val="00B9127B"/>
    <w:rsid w:val="00B91566"/>
    <w:rsid w:val="00B92759"/>
    <w:rsid w:val="00B9320C"/>
    <w:rsid w:val="00B939B1"/>
    <w:rsid w:val="00B93B79"/>
    <w:rsid w:val="00B95EA0"/>
    <w:rsid w:val="00B96D40"/>
    <w:rsid w:val="00B97386"/>
    <w:rsid w:val="00BA263B"/>
    <w:rsid w:val="00BA27DB"/>
    <w:rsid w:val="00BA42B2"/>
    <w:rsid w:val="00BA58D4"/>
    <w:rsid w:val="00BA5B9E"/>
    <w:rsid w:val="00BA646F"/>
    <w:rsid w:val="00BA7C9A"/>
    <w:rsid w:val="00BB5F8F"/>
    <w:rsid w:val="00BB657A"/>
    <w:rsid w:val="00BC1A4E"/>
    <w:rsid w:val="00BC5DC7"/>
    <w:rsid w:val="00BC6B8B"/>
    <w:rsid w:val="00BC73D8"/>
    <w:rsid w:val="00BD52D7"/>
    <w:rsid w:val="00BD5AD2"/>
    <w:rsid w:val="00BD6082"/>
    <w:rsid w:val="00BD6CF3"/>
    <w:rsid w:val="00BD717E"/>
    <w:rsid w:val="00BE0A29"/>
    <w:rsid w:val="00BE22F3"/>
    <w:rsid w:val="00BE49EE"/>
    <w:rsid w:val="00BE5B52"/>
    <w:rsid w:val="00BE708C"/>
    <w:rsid w:val="00BE7560"/>
    <w:rsid w:val="00BE7B8D"/>
    <w:rsid w:val="00BF0993"/>
    <w:rsid w:val="00BF0C36"/>
    <w:rsid w:val="00BF10A9"/>
    <w:rsid w:val="00BF1703"/>
    <w:rsid w:val="00BF231C"/>
    <w:rsid w:val="00BF51E5"/>
    <w:rsid w:val="00BF74A6"/>
    <w:rsid w:val="00C013AD"/>
    <w:rsid w:val="00C04904"/>
    <w:rsid w:val="00C0529D"/>
    <w:rsid w:val="00C056B3"/>
    <w:rsid w:val="00C07D76"/>
    <w:rsid w:val="00C103E5"/>
    <w:rsid w:val="00C13319"/>
    <w:rsid w:val="00C13EE9"/>
    <w:rsid w:val="00C14D87"/>
    <w:rsid w:val="00C21540"/>
    <w:rsid w:val="00C21906"/>
    <w:rsid w:val="00C21BFA"/>
    <w:rsid w:val="00C24C8D"/>
    <w:rsid w:val="00C25FE2"/>
    <w:rsid w:val="00C26B53"/>
    <w:rsid w:val="00C279B2"/>
    <w:rsid w:val="00C33B9D"/>
    <w:rsid w:val="00C33E50"/>
    <w:rsid w:val="00C34C20"/>
    <w:rsid w:val="00C35A3E"/>
    <w:rsid w:val="00C42130"/>
    <w:rsid w:val="00C423A4"/>
    <w:rsid w:val="00C44BF5"/>
    <w:rsid w:val="00C464D8"/>
    <w:rsid w:val="00C51645"/>
    <w:rsid w:val="00C55232"/>
    <w:rsid w:val="00C553A4"/>
    <w:rsid w:val="00C55A06"/>
    <w:rsid w:val="00C55D03"/>
    <w:rsid w:val="00C601BC"/>
    <w:rsid w:val="00C62223"/>
    <w:rsid w:val="00C6329F"/>
    <w:rsid w:val="00C63340"/>
    <w:rsid w:val="00C643F9"/>
    <w:rsid w:val="00C64E95"/>
    <w:rsid w:val="00C655FD"/>
    <w:rsid w:val="00C71372"/>
    <w:rsid w:val="00C72410"/>
    <w:rsid w:val="00C7287F"/>
    <w:rsid w:val="00C72F0E"/>
    <w:rsid w:val="00C80CB8"/>
    <w:rsid w:val="00C819F8"/>
    <w:rsid w:val="00C8248C"/>
    <w:rsid w:val="00C84E33"/>
    <w:rsid w:val="00C84F2C"/>
    <w:rsid w:val="00C86D6F"/>
    <w:rsid w:val="00C905FC"/>
    <w:rsid w:val="00C926F9"/>
    <w:rsid w:val="00C92B98"/>
    <w:rsid w:val="00C92D03"/>
    <w:rsid w:val="00C9319C"/>
    <w:rsid w:val="00C9435D"/>
    <w:rsid w:val="00C9517F"/>
    <w:rsid w:val="00C96741"/>
    <w:rsid w:val="00CA1A5B"/>
    <w:rsid w:val="00CA2808"/>
    <w:rsid w:val="00CA2D1B"/>
    <w:rsid w:val="00CA662A"/>
    <w:rsid w:val="00CA7AFD"/>
    <w:rsid w:val="00CA7C3C"/>
    <w:rsid w:val="00CB0189"/>
    <w:rsid w:val="00CB030C"/>
    <w:rsid w:val="00CB0BA2"/>
    <w:rsid w:val="00CB1A42"/>
    <w:rsid w:val="00CB1B0C"/>
    <w:rsid w:val="00CB2C0B"/>
    <w:rsid w:val="00CB4FA5"/>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44B1"/>
    <w:rsid w:val="00CF494C"/>
    <w:rsid w:val="00CF686F"/>
    <w:rsid w:val="00CF6E60"/>
    <w:rsid w:val="00CF7BCA"/>
    <w:rsid w:val="00D00736"/>
    <w:rsid w:val="00D008FD"/>
    <w:rsid w:val="00D02922"/>
    <w:rsid w:val="00D0321C"/>
    <w:rsid w:val="00D035EC"/>
    <w:rsid w:val="00D04112"/>
    <w:rsid w:val="00D06AB1"/>
    <w:rsid w:val="00D072ED"/>
    <w:rsid w:val="00D07A16"/>
    <w:rsid w:val="00D1067E"/>
    <w:rsid w:val="00D10F50"/>
    <w:rsid w:val="00D11272"/>
    <w:rsid w:val="00D126F5"/>
    <w:rsid w:val="00D1489E"/>
    <w:rsid w:val="00D17F09"/>
    <w:rsid w:val="00D20737"/>
    <w:rsid w:val="00D21E81"/>
    <w:rsid w:val="00D223DE"/>
    <w:rsid w:val="00D25E37"/>
    <w:rsid w:val="00D2661A"/>
    <w:rsid w:val="00D266BB"/>
    <w:rsid w:val="00D27582"/>
    <w:rsid w:val="00D32719"/>
    <w:rsid w:val="00D330DF"/>
    <w:rsid w:val="00D33333"/>
    <w:rsid w:val="00D352A2"/>
    <w:rsid w:val="00D40A83"/>
    <w:rsid w:val="00D4162B"/>
    <w:rsid w:val="00D4514F"/>
    <w:rsid w:val="00D451E2"/>
    <w:rsid w:val="00D4545E"/>
    <w:rsid w:val="00D45E89"/>
    <w:rsid w:val="00D45E8D"/>
    <w:rsid w:val="00D466AE"/>
    <w:rsid w:val="00D4734F"/>
    <w:rsid w:val="00D51BF3"/>
    <w:rsid w:val="00D52872"/>
    <w:rsid w:val="00D53937"/>
    <w:rsid w:val="00D63276"/>
    <w:rsid w:val="00D65DF5"/>
    <w:rsid w:val="00D65F37"/>
    <w:rsid w:val="00D66846"/>
    <w:rsid w:val="00D675FB"/>
    <w:rsid w:val="00D71F25"/>
    <w:rsid w:val="00D74573"/>
    <w:rsid w:val="00D76E6E"/>
    <w:rsid w:val="00D77031"/>
    <w:rsid w:val="00D84126"/>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0A64"/>
    <w:rsid w:val="00DB1B90"/>
    <w:rsid w:val="00DB38EE"/>
    <w:rsid w:val="00DB498B"/>
    <w:rsid w:val="00DB66CA"/>
    <w:rsid w:val="00DB6BCA"/>
    <w:rsid w:val="00DB7073"/>
    <w:rsid w:val="00DC0321"/>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51F0"/>
    <w:rsid w:val="00DE6E81"/>
    <w:rsid w:val="00DE703F"/>
    <w:rsid w:val="00DE7595"/>
    <w:rsid w:val="00DF15BE"/>
    <w:rsid w:val="00DF1961"/>
    <w:rsid w:val="00DF2CA5"/>
    <w:rsid w:val="00DF44DE"/>
    <w:rsid w:val="00DF66EA"/>
    <w:rsid w:val="00E01138"/>
    <w:rsid w:val="00E02DFB"/>
    <w:rsid w:val="00E030F9"/>
    <w:rsid w:val="00E0311A"/>
    <w:rsid w:val="00E03138"/>
    <w:rsid w:val="00E0429E"/>
    <w:rsid w:val="00E06404"/>
    <w:rsid w:val="00E11A85"/>
    <w:rsid w:val="00E12495"/>
    <w:rsid w:val="00E15CCD"/>
    <w:rsid w:val="00E202EF"/>
    <w:rsid w:val="00E210B5"/>
    <w:rsid w:val="00E2552F"/>
    <w:rsid w:val="00E309D8"/>
    <w:rsid w:val="00E3137A"/>
    <w:rsid w:val="00E32008"/>
    <w:rsid w:val="00E32CCF"/>
    <w:rsid w:val="00E34A98"/>
    <w:rsid w:val="00E35D1E"/>
    <w:rsid w:val="00E364F9"/>
    <w:rsid w:val="00E365FA"/>
    <w:rsid w:val="00E37AB7"/>
    <w:rsid w:val="00E40C94"/>
    <w:rsid w:val="00E44A83"/>
    <w:rsid w:val="00E502C1"/>
    <w:rsid w:val="00E502DD"/>
    <w:rsid w:val="00E50D3A"/>
    <w:rsid w:val="00E51387"/>
    <w:rsid w:val="00E51995"/>
    <w:rsid w:val="00E51E68"/>
    <w:rsid w:val="00E52EFD"/>
    <w:rsid w:val="00E5408A"/>
    <w:rsid w:val="00E55AC3"/>
    <w:rsid w:val="00E56800"/>
    <w:rsid w:val="00E60CD7"/>
    <w:rsid w:val="00E6124C"/>
    <w:rsid w:val="00E62FF9"/>
    <w:rsid w:val="00E635D6"/>
    <w:rsid w:val="00E639BC"/>
    <w:rsid w:val="00E64E2E"/>
    <w:rsid w:val="00E664CC"/>
    <w:rsid w:val="00E70388"/>
    <w:rsid w:val="00E70F92"/>
    <w:rsid w:val="00E74C54"/>
    <w:rsid w:val="00E76783"/>
    <w:rsid w:val="00E776AB"/>
    <w:rsid w:val="00E77A03"/>
    <w:rsid w:val="00E822E8"/>
    <w:rsid w:val="00E82554"/>
    <w:rsid w:val="00E82606"/>
    <w:rsid w:val="00E846C8"/>
    <w:rsid w:val="00E84957"/>
    <w:rsid w:val="00E84A55"/>
    <w:rsid w:val="00E85BFF"/>
    <w:rsid w:val="00E90391"/>
    <w:rsid w:val="00E906C2"/>
    <w:rsid w:val="00E9311F"/>
    <w:rsid w:val="00E934D1"/>
    <w:rsid w:val="00E94AF0"/>
    <w:rsid w:val="00E94F59"/>
    <w:rsid w:val="00E95D13"/>
    <w:rsid w:val="00E95DD3"/>
    <w:rsid w:val="00E969D5"/>
    <w:rsid w:val="00EA58D1"/>
    <w:rsid w:val="00EA61BC"/>
    <w:rsid w:val="00EA681A"/>
    <w:rsid w:val="00EA735B"/>
    <w:rsid w:val="00EB1E69"/>
    <w:rsid w:val="00EB2086"/>
    <w:rsid w:val="00EB531B"/>
    <w:rsid w:val="00EB5EDF"/>
    <w:rsid w:val="00EB60FE"/>
    <w:rsid w:val="00EB74DB"/>
    <w:rsid w:val="00EC5359"/>
    <w:rsid w:val="00EC562A"/>
    <w:rsid w:val="00EC72A4"/>
    <w:rsid w:val="00ED067A"/>
    <w:rsid w:val="00ED2B50"/>
    <w:rsid w:val="00ED409F"/>
    <w:rsid w:val="00ED76D4"/>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5BB6"/>
    <w:rsid w:val="00F26B7E"/>
    <w:rsid w:val="00F27A3B"/>
    <w:rsid w:val="00F27C2B"/>
    <w:rsid w:val="00F33817"/>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7749C"/>
    <w:rsid w:val="00F81BB8"/>
    <w:rsid w:val="00F827E0"/>
    <w:rsid w:val="00F84934"/>
    <w:rsid w:val="00F84FD0"/>
    <w:rsid w:val="00F859A8"/>
    <w:rsid w:val="00F9108B"/>
    <w:rsid w:val="00F91349"/>
    <w:rsid w:val="00F93A8A"/>
    <w:rsid w:val="00F95248"/>
    <w:rsid w:val="00F956A9"/>
    <w:rsid w:val="00F963ED"/>
    <w:rsid w:val="00F966CF"/>
    <w:rsid w:val="00F96CAE"/>
    <w:rsid w:val="00F97C99"/>
    <w:rsid w:val="00FA0497"/>
    <w:rsid w:val="00FA662D"/>
    <w:rsid w:val="00FA73B1"/>
    <w:rsid w:val="00FB0CB9"/>
    <w:rsid w:val="00FB45F1"/>
    <w:rsid w:val="00FB4A72"/>
    <w:rsid w:val="00FB54E8"/>
    <w:rsid w:val="00FB7054"/>
    <w:rsid w:val="00FC17B7"/>
    <w:rsid w:val="00FC2CB7"/>
    <w:rsid w:val="00FC4090"/>
    <w:rsid w:val="00FC4524"/>
    <w:rsid w:val="00FC4B2B"/>
    <w:rsid w:val="00FC55B4"/>
    <w:rsid w:val="00FD00E6"/>
    <w:rsid w:val="00FD09A1"/>
    <w:rsid w:val="00FD2A7C"/>
    <w:rsid w:val="00FD59EB"/>
    <w:rsid w:val="00FD7299"/>
    <w:rsid w:val="00FE1A34"/>
    <w:rsid w:val="00FE1FBE"/>
    <w:rsid w:val="00FE3901"/>
    <w:rsid w:val="00FE4579"/>
    <w:rsid w:val="00FE4BCE"/>
    <w:rsid w:val="00FE54AE"/>
    <w:rsid w:val="00FE576A"/>
    <w:rsid w:val="00FE61CF"/>
    <w:rsid w:val="00FE7E79"/>
    <w:rsid w:val="00FF034D"/>
    <w:rsid w:val="00FF1767"/>
    <w:rsid w:val="00FF3E7D"/>
    <w:rsid w:val="00FF576A"/>
    <w:rsid w:val="00FF5B99"/>
    <w:rsid w:val="00FF730C"/>
    <w:rsid w:val="00FF73F4"/>
    <w:rsid w:val="00FF7CE4"/>
    <w:rsid w:val="00FF7E39"/>
    <w:rsid w:val="022B0EF4"/>
    <w:rsid w:val="024E15C6"/>
    <w:rsid w:val="026E662D"/>
    <w:rsid w:val="02726E16"/>
    <w:rsid w:val="03351846"/>
    <w:rsid w:val="038C50E0"/>
    <w:rsid w:val="047468E6"/>
    <w:rsid w:val="05280A6A"/>
    <w:rsid w:val="053771F0"/>
    <w:rsid w:val="05C51508"/>
    <w:rsid w:val="060223D0"/>
    <w:rsid w:val="070759B6"/>
    <w:rsid w:val="070A227D"/>
    <w:rsid w:val="07E624BF"/>
    <w:rsid w:val="08023ACB"/>
    <w:rsid w:val="09444942"/>
    <w:rsid w:val="0961273C"/>
    <w:rsid w:val="0A5E0911"/>
    <w:rsid w:val="0A7E45B9"/>
    <w:rsid w:val="0A8D160A"/>
    <w:rsid w:val="0AE65BFC"/>
    <w:rsid w:val="0B9A2BAF"/>
    <w:rsid w:val="0BAF71DA"/>
    <w:rsid w:val="0BE85EE2"/>
    <w:rsid w:val="0BEB5C9B"/>
    <w:rsid w:val="0C790540"/>
    <w:rsid w:val="0C9D0C35"/>
    <w:rsid w:val="0DAF5E3F"/>
    <w:rsid w:val="0DF203B2"/>
    <w:rsid w:val="0E0E626A"/>
    <w:rsid w:val="0FBB7EB0"/>
    <w:rsid w:val="0FF51150"/>
    <w:rsid w:val="109A5A1D"/>
    <w:rsid w:val="111B5CAB"/>
    <w:rsid w:val="111C6C6B"/>
    <w:rsid w:val="114A7C42"/>
    <w:rsid w:val="11D471CF"/>
    <w:rsid w:val="11EA5A9C"/>
    <w:rsid w:val="12D34912"/>
    <w:rsid w:val="135E34E8"/>
    <w:rsid w:val="136C3949"/>
    <w:rsid w:val="142C636E"/>
    <w:rsid w:val="14842279"/>
    <w:rsid w:val="14D41520"/>
    <w:rsid w:val="14DF6043"/>
    <w:rsid w:val="156E30E2"/>
    <w:rsid w:val="16CE085C"/>
    <w:rsid w:val="16F615E1"/>
    <w:rsid w:val="17157B03"/>
    <w:rsid w:val="18E17362"/>
    <w:rsid w:val="18EF6017"/>
    <w:rsid w:val="19246FC0"/>
    <w:rsid w:val="19A27B05"/>
    <w:rsid w:val="19B967CB"/>
    <w:rsid w:val="1AAB437D"/>
    <w:rsid w:val="1AE20983"/>
    <w:rsid w:val="1B80029B"/>
    <w:rsid w:val="1B8A054A"/>
    <w:rsid w:val="1BDC0F2A"/>
    <w:rsid w:val="1C00620A"/>
    <w:rsid w:val="1C4A05F8"/>
    <w:rsid w:val="1C99656B"/>
    <w:rsid w:val="1D2A01B7"/>
    <w:rsid w:val="1D371EB1"/>
    <w:rsid w:val="1DC679D7"/>
    <w:rsid w:val="1DDF0CB4"/>
    <w:rsid w:val="1E3A0076"/>
    <w:rsid w:val="1E7E7DB8"/>
    <w:rsid w:val="1ECF4C73"/>
    <w:rsid w:val="1F4A628F"/>
    <w:rsid w:val="1F7333CB"/>
    <w:rsid w:val="1F9B746F"/>
    <w:rsid w:val="1FE4624A"/>
    <w:rsid w:val="20053897"/>
    <w:rsid w:val="20B539BE"/>
    <w:rsid w:val="20D075AF"/>
    <w:rsid w:val="20FA3FC3"/>
    <w:rsid w:val="216C3B10"/>
    <w:rsid w:val="22025452"/>
    <w:rsid w:val="22094B32"/>
    <w:rsid w:val="22662CD9"/>
    <w:rsid w:val="22A87E58"/>
    <w:rsid w:val="22AF59F3"/>
    <w:rsid w:val="22BC50B9"/>
    <w:rsid w:val="232E058C"/>
    <w:rsid w:val="234711AF"/>
    <w:rsid w:val="235B7191"/>
    <w:rsid w:val="241A2552"/>
    <w:rsid w:val="241C39CC"/>
    <w:rsid w:val="253E07E3"/>
    <w:rsid w:val="257E3246"/>
    <w:rsid w:val="258876D3"/>
    <w:rsid w:val="267B518C"/>
    <w:rsid w:val="2681079B"/>
    <w:rsid w:val="27142059"/>
    <w:rsid w:val="27377567"/>
    <w:rsid w:val="28001F40"/>
    <w:rsid w:val="28F72E29"/>
    <w:rsid w:val="292B6711"/>
    <w:rsid w:val="29B7E068"/>
    <w:rsid w:val="2AC91754"/>
    <w:rsid w:val="2AE00186"/>
    <w:rsid w:val="2B4A1E95"/>
    <w:rsid w:val="2BED730F"/>
    <w:rsid w:val="2C7212B2"/>
    <w:rsid w:val="2CE14EC7"/>
    <w:rsid w:val="2DF55BBB"/>
    <w:rsid w:val="2E990003"/>
    <w:rsid w:val="2EC27584"/>
    <w:rsid w:val="2EC75DFB"/>
    <w:rsid w:val="2F564F07"/>
    <w:rsid w:val="2F6F6D61"/>
    <w:rsid w:val="2F7CD306"/>
    <w:rsid w:val="2FCD0FF7"/>
    <w:rsid w:val="2FDFEE98"/>
    <w:rsid w:val="2FF14B89"/>
    <w:rsid w:val="30057687"/>
    <w:rsid w:val="30AA3D89"/>
    <w:rsid w:val="30C45585"/>
    <w:rsid w:val="31181A42"/>
    <w:rsid w:val="31FC1CFC"/>
    <w:rsid w:val="3237ED04"/>
    <w:rsid w:val="32DE5784"/>
    <w:rsid w:val="32F42AAE"/>
    <w:rsid w:val="33B04DA5"/>
    <w:rsid w:val="33F75A20"/>
    <w:rsid w:val="34013F3E"/>
    <w:rsid w:val="345117AD"/>
    <w:rsid w:val="34922855"/>
    <w:rsid w:val="34F00F14"/>
    <w:rsid w:val="352548AE"/>
    <w:rsid w:val="35B13247"/>
    <w:rsid w:val="35EF5A6A"/>
    <w:rsid w:val="365C2586"/>
    <w:rsid w:val="36A4765B"/>
    <w:rsid w:val="36FDCB72"/>
    <w:rsid w:val="375D0761"/>
    <w:rsid w:val="37E346B8"/>
    <w:rsid w:val="37F87495"/>
    <w:rsid w:val="37FB7F55"/>
    <w:rsid w:val="38236D2D"/>
    <w:rsid w:val="38922E8D"/>
    <w:rsid w:val="38F1340A"/>
    <w:rsid w:val="38FF3937"/>
    <w:rsid w:val="392A5882"/>
    <w:rsid w:val="39597DB0"/>
    <w:rsid w:val="39CA4BEA"/>
    <w:rsid w:val="39ED2AB9"/>
    <w:rsid w:val="3AF050DD"/>
    <w:rsid w:val="3B0B71B6"/>
    <w:rsid w:val="3BEC7174"/>
    <w:rsid w:val="3C382EB2"/>
    <w:rsid w:val="3C447E49"/>
    <w:rsid w:val="3D0C2A86"/>
    <w:rsid w:val="3D4757E1"/>
    <w:rsid w:val="3D5B544A"/>
    <w:rsid w:val="3D635127"/>
    <w:rsid w:val="3DBB1EE1"/>
    <w:rsid w:val="3DE77E2D"/>
    <w:rsid w:val="3E43059E"/>
    <w:rsid w:val="3E622E55"/>
    <w:rsid w:val="3EFF2057"/>
    <w:rsid w:val="3F006A3C"/>
    <w:rsid w:val="3F0D6C18"/>
    <w:rsid w:val="3F2E692E"/>
    <w:rsid w:val="3F2F7B1D"/>
    <w:rsid w:val="3F7509FF"/>
    <w:rsid w:val="3FA51099"/>
    <w:rsid w:val="40067565"/>
    <w:rsid w:val="41737185"/>
    <w:rsid w:val="418C059F"/>
    <w:rsid w:val="41A25D3E"/>
    <w:rsid w:val="42547D3A"/>
    <w:rsid w:val="43CA4F68"/>
    <w:rsid w:val="443001A0"/>
    <w:rsid w:val="443F56AE"/>
    <w:rsid w:val="46F14A6F"/>
    <w:rsid w:val="478C337B"/>
    <w:rsid w:val="47B558A8"/>
    <w:rsid w:val="49414B0F"/>
    <w:rsid w:val="4ACA6803"/>
    <w:rsid w:val="4AE3992E"/>
    <w:rsid w:val="4AE51686"/>
    <w:rsid w:val="4AFA44F5"/>
    <w:rsid w:val="4B0C003F"/>
    <w:rsid w:val="4B5879C0"/>
    <w:rsid w:val="4B663369"/>
    <w:rsid w:val="4B9F448F"/>
    <w:rsid w:val="4C1E736D"/>
    <w:rsid w:val="4C7A2FF6"/>
    <w:rsid w:val="4D583170"/>
    <w:rsid w:val="4DBA0BBB"/>
    <w:rsid w:val="4DF62A53"/>
    <w:rsid w:val="4E2A2E1D"/>
    <w:rsid w:val="4EFB4690"/>
    <w:rsid w:val="4F4421E2"/>
    <w:rsid w:val="4F676753"/>
    <w:rsid w:val="4FA47D29"/>
    <w:rsid w:val="4FF77C2C"/>
    <w:rsid w:val="5006393C"/>
    <w:rsid w:val="50877038"/>
    <w:rsid w:val="50A22B3E"/>
    <w:rsid w:val="53095C1D"/>
    <w:rsid w:val="53A257C3"/>
    <w:rsid w:val="53DF77DD"/>
    <w:rsid w:val="54554558"/>
    <w:rsid w:val="54587870"/>
    <w:rsid w:val="54FFA4F3"/>
    <w:rsid w:val="550A0B6D"/>
    <w:rsid w:val="553A37A7"/>
    <w:rsid w:val="55ED6E11"/>
    <w:rsid w:val="562543F0"/>
    <w:rsid w:val="56287835"/>
    <w:rsid w:val="56A1616C"/>
    <w:rsid w:val="56C232D8"/>
    <w:rsid w:val="56D6421C"/>
    <w:rsid w:val="570F7B8F"/>
    <w:rsid w:val="57283C97"/>
    <w:rsid w:val="572857C3"/>
    <w:rsid w:val="57B5765A"/>
    <w:rsid w:val="57BFB3C1"/>
    <w:rsid w:val="57FEACF7"/>
    <w:rsid w:val="58166F85"/>
    <w:rsid w:val="586A3542"/>
    <w:rsid w:val="58BF5522"/>
    <w:rsid w:val="597B1211"/>
    <w:rsid w:val="59BC7647"/>
    <w:rsid w:val="59CA70E1"/>
    <w:rsid w:val="59DBC327"/>
    <w:rsid w:val="5ACFF520"/>
    <w:rsid w:val="5B1B7851"/>
    <w:rsid w:val="5B5852B1"/>
    <w:rsid w:val="5B8E50EE"/>
    <w:rsid w:val="5D4B3ED6"/>
    <w:rsid w:val="5D5201C0"/>
    <w:rsid w:val="5D79BA3A"/>
    <w:rsid w:val="5DFF150B"/>
    <w:rsid w:val="5E547F68"/>
    <w:rsid w:val="5E5E580B"/>
    <w:rsid w:val="5E7A8B64"/>
    <w:rsid w:val="5E867220"/>
    <w:rsid w:val="5EDE0F33"/>
    <w:rsid w:val="5EDF2D3F"/>
    <w:rsid w:val="5EFE0EDB"/>
    <w:rsid w:val="5EFF7571"/>
    <w:rsid w:val="5F139F3F"/>
    <w:rsid w:val="5F1F40D2"/>
    <w:rsid w:val="5F2C7FDE"/>
    <w:rsid w:val="5F3A871C"/>
    <w:rsid w:val="5F3B0900"/>
    <w:rsid w:val="5F3F25DC"/>
    <w:rsid w:val="5F4E11E7"/>
    <w:rsid w:val="5F577D10"/>
    <w:rsid w:val="5F75AC67"/>
    <w:rsid w:val="5FBF5E26"/>
    <w:rsid w:val="5FD986BF"/>
    <w:rsid w:val="5FDFC413"/>
    <w:rsid w:val="602C06E8"/>
    <w:rsid w:val="60455DBA"/>
    <w:rsid w:val="604B2CF6"/>
    <w:rsid w:val="61B14255"/>
    <w:rsid w:val="61BD77A9"/>
    <w:rsid w:val="61F76247"/>
    <w:rsid w:val="61F84BE1"/>
    <w:rsid w:val="62087D01"/>
    <w:rsid w:val="627E6DD5"/>
    <w:rsid w:val="62F64BCD"/>
    <w:rsid w:val="63600F21"/>
    <w:rsid w:val="637F9C62"/>
    <w:rsid w:val="63D168F4"/>
    <w:rsid w:val="64540CC2"/>
    <w:rsid w:val="6482504D"/>
    <w:rsid w:val="650D1BB7"/>
    <w:rsid w:val="65DF5AD0"/>
    <w:rsid w:val="664B5A0D"/>
    <w:rsid w:val="67017311"/>
    <w:rsid w:val="676B1889"/>
    <w:rsid w:val="680C5410"/>
    <w:rsid w:val="68502605"/>
    <w:rsid w:val="685E2002"/>
    <w:rsid w:val="687F107F"/>
    <w:rsid w:val="68E16934"/>
    <w:rsid w:val="69033A62"/>
    <w:rsid w:val="6A302F36"/>
    <w:rsid w:val="6A6E5F0E"/>
    <w:rsid w:val="6AA15BFC"/>
    <w:rsid w:val="6AC95741"/>
    <w:rsid w:val="6B4232F3"/>
    <w:rsid w:val="6B481F0D"/>
    <w:rsid w:val="6B9D4C2E"/>
    <w:rsid w:val="6BDE10CE"/>
    <w:rsid w:val="6BE609CA"/>
    <w:rsid w:val="6BEE4D0B"/>
    <w:rsid w:val="6C7F2B48"/>
    <w:rsid w:val="6CFD76B6"/>
    <w:rsid w:val="6D2A6A64"/>
    <w:rsid w:val="6DA74875"/>
    <w:rsid w:val="6DBC2D48"/>
    <w:rsid w:val="6E3A3CD6"/>
    <w:rsid w:val="6EA94513"/>
    <w:rsid w:val="6EF7ECDF"/>
    <w:rsid w:val="6F024050"/>
    <w:rsid w:val="6FE44BC3"/>
    <w:rsid w:val="6FED6CAC"/>
    <w:rsid w:val="6FEF86AE"/>
    <w:rsid w:val="702320B2"/>
    <w:rsid w:val="703710EF"/>
    <w:rsid w:val="70A322E2"/>
    <w:rsid w:val="70DE02DD"/>
    <w:rsid w:val="71C01745"/>
    <w:rsid w:val="71FF0CC4"/>
    <w:rsid w:val="72831E8F"/>
    <w:rsid w:val="72C60E08"/>
    <w:rsid w:val="72DE2883"/>
    <w:rsid w:val="733551F7"/>
    <w:rsid w:val="73AA0E77"/>
    <w:rsid w:val="73FF617C"/>
    <w:rsid w:val="73FF9EE3"/>
    <w:rsid w:val="74A643ED"/>
    <w:rsid w:val="74E27C24"/>
    <w:rsid w:val="75091C7B"/>
    <w:rsid w:val="753AC684"/>
    <w:rsid w:val="75C94940"/>
    <w:rsid w:val="75CE76D3"/>
    <w:rsid w:val="75F55735"/>
    <w:rsid w:val="76261977"/>
    <w:rsid w:val="76E84A21"/>
    <w:rsid w:val="76F84632"/>
    <w:rsid w:val="77097DD2"/>
    <w:rsid w:val="773C312D"/>
    <w:rsid w:val="77FDB18A"/>
    <w:rsid w:val="7802657C"/>
    <w:rsid w:val="7851526D"/>
    <w:rsid w:val="78655EF6"/>
    <w:rsid w:val="78C167AC"/>
    <w:rsid w:val="79BA44BC"/>
    <w:rsid w:val="7A416A37"/>
    <w:rsid w:val="7AAC0B84"/>
    <w:rsid w:val="7AEC20FB"/>
    <w:rsid w:val="7AFF7D4D"/>
    <w:rsid w:val="7B1A156D"/>
    <w:rsid w:val="7B1E7930"/>
    <w:rsid w:val="7B3E71A5"/>
    <w:rsid w:val="7B7949E0"/>
    <w:rsid w:val="7B8B6A0A"/>
    <w:rsid w:val="7BE02BB3"/>
    <w:rsid w:val="7BF64DDE"/>
    <w:rsid w:val="7BF71124"/>
    <w:rsid w:val="7BFDDA1F"/>
    <w:rsid w:val="7BFF6985"/>
    <w:rsid w:val="7C3F2676"/>
    <w:rsid w:val="7C467EC3"/>
    <w:rsid w:val="7C6A62AD"/>
    <w:rsid w:val="7C7C474C"/>
    <w:rsid w:val="7D02417B"/>
    <w:rsid w:val="7D1747B2"/>
    <w:rsid w:val="7D410CC6"/>
    <w:rsid w:val="7DDD1750"/>
    <w:rsid w:val="7E483FE2"/>
    <w:rsid w:val="7E5A0B50"/>
    <w:rsid w:val="7EDE1DAB"/>
    <w:rsid w:val="7EF75823"/>
    <w:rsid w:val="7F017BF1"/>
    <w:rsid w:val="7F5AAF3B"/>
    <w:rsid w:val="7F76B923"/>
    <w:rsid w:val="7F7C4293"/>
    <w:rsid w:val="7F8FB1C2"/>
    <w:rsid w:val="7FB21F2C"/>
    <w:rsid w:val="7FBBD3BF"/>
    <w:rsid w:val="7FBF3EB3"/>
    <w:rsid w:val="7FBFF3DB"/>
    <w:rsid w:val="7FDAE99D"/>
    <w:rsid w:val="7FDB478D"/>
    <w:rsid w:val="7FDF1E19"/>
    <w:rsid w:val="7FDFB4E6"/>
    <w:rsid w:val="7FEDB4E1"/>
    <w:rsid w:val="91154EB1"/>
    <w:rsid w:val="98AD6C87"/>
    <w:rsid w:val="99FFB13C"/>
    <w:rsid w:val="9F7F27BE"/>
    <w:rsid w:val="9FF76BD6"/>
    <w:rsid w:val="ADFBCB55"/>
    <w:rsid w:val="AFFEBCFF"/>
    <w:rsid w:val="B82C4CD6"/>
    <w:rsid w:val="B99D7B6B"/>
    <w:rsid w:val="BAAEB151"/>
    <w:rsid w:val="BAFB590E"/>
    <w:rsid w:val="BEB333D9"/>
    <w:rsid w:val="BF4F0D6A"/>
    <w:rsid w:val="BFBF6A6F"/>
    <w:rsid w:val="BFCA2F59"/>
    <w:rsid w:val="BFD92715"/>
    <w:rsid w:val="BFFF9375"/>
    <w:rsid w:val="CA3F6566"/>
    <w:rsid w:val="D0FC2897"/>
    <w:rsid w:val="D77E97BF"/>
    <w:rsid w:val="D7ED67C4"/>
    <w:rsid w:val="D7FBCFEF"/>
    <w:rsid w:val="D8ED67C7"/>
    <w:rsid w:val="DAFFE88F"/>
    <w:rsid w:val="DB679E1F"/>
    <w:rsid w:val="DBF91EA3"/>
    <w:rsid w:val="DD77981E"/>
    <w:rsid w:val="DDFD7F6C"/>
    <w:rsid w:val="DEF96209"/>
    <w:rsid w:val="DF739061"/>
    <w:rsid w:val="DFD7DA6B"/>
    <w:rsid w:val="EB7F3A02"/>
    <w:rsid w:val="EB83443C"/>
    <w:rsid w:val="ED7B1484"/>
    <w:rsid w:val="EDCF5432"/>
    <w:rsid w:val="EEA6D769"/>
    <w:rsid w:val="EEFBA4C7"/>
    <w:rsid w:val="EFA2B723"/>
    <w:rsid w:val="EFEDD876"/>
    <w:rsid w:val="F2F7D854"/>
    <w:rsid w:val="F36D4263"/>
    <w:rsid w:val="F3BFB702"/>
    <w:rsid w:val="F5DDFC28"/>
    <w:rsid w:val="F7AEB3F9"/>
    <w:rsid w:val="F7C49272"/>
    <w:rsid w:val="F7FAB442"/>
    <w:rsid w:val="F93F8EE0"/>
    <w:rsid w:val="FB966520"/>
    <w:rsid w:val="FBBB2EE4"/>
    <w:rsid w:val="FBBFB673"/>
    <w:rsid w:val="FC2FFAD9"/>
    <w:rsid w:val="FC7F2243"/>
    <w:rsid w:val="FDBD26D4"/>
    <w:rsid w:val="FDBF517C"/>
    <w:rsid w:val="FDFF3E96"/>
    <w:rsid w:val="FEAF865C"/>
    <w:rsid w:val="FEC93234"/>
    <w:rsid w:val="FECDEAF0"/>
    <w:rsid w:val="FEFF69BB"/>
    <w:rsid w:val="FF6F476B"/>
    <w:rsid w:val="FFBF74EF"/>
    <w:rsid w:val="FFC7891B"/>
    <w:rsid w:val="FFDB5651"/>
    <w:rsid w:val="FFE4A8B5"/>
    <w:rsid w:val="FFED45F3"/>
    <w:rsid w:val="FFEE90A3"/>
    <w:rsid w:val="FFEFF859"/>
    <w:rsid w:val="FFF1F0CB"/>
    <w:rsid w:val="FFF76517"/>
    <w:rsid w:val="FFFA8A86"/>
    <w:rsid w:val="FFFB449A"/>
    <w:rsid w:val="FFFD05DB"/>
    <w:rsid w:val="FFFD26BD"/>
    <w:rsid w:val="FFFFEE01"/>
    <w:rsid w:val="FFFFF2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5">
    <w:name w:val="heading 1"/>
    <w:basedOn w:val="1"/>
    <w:next w:val="1"/>
    <w:link w:val="42"/>
    <w:qFormat/>
    <w:uiPriority w:val="0"/>
    <w:pPr>
      <w:keepNext/>
      <w:keepLines/>
      <w:numPr>
        <w:ilvl w:val="0"/>
        <w:numId w:val="1"/>
      </w:numPr>
      <w:spacing w:before="340" w:after="330" w:line="578" w:lineRule="auto"/>
      <w:outlineLvl w:val="0"/>
    </w:pPr>
    <w:rPr>
      <w:b/>
      <w:bCs/>
      <w:kern w:val="44"/>
      <w:sz w:val="44"/>
      <w:szCs w:val="44"/>
    </w:rPr>
  </w:style>
  <w:style w:type="paragraph" w:styleId="6">
    <w:name w:val="heading 2"/>
    <w:basedOn w:val="1"/>
    <w:next w:val="1"/>
    <w:link w:val="4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7">
    <w:name w:val="heading 3"/>
    <w:basedOn w:val="1"/>
    <w:next w:val="1"/>
    <w:link w:val="44"/>
    <w:qFormat/>
    <w:uiPriority w:val="0"/>
    <w:pPr>
      <w:keepNext/>
      <w:keepLines/>
      <w:numPr>
        <w:ilvl w:val="2"/>
        <w:numId w:val="1"/>
      </w:numPr>
      <w:spacing w:before="260" w:after="260" w:line="416" w:lineRule="auto"/>
      <w:outlineLvl w:val="2"/>
    </w:pPr>
    <w:rPr>
      <w:b/>
      <w:bCs/>
      <w:sz w:val="32"/>
      <w:szCs w:val="32"/>
    </w:rPr>
  </w:style>
  <w:style w:type="paragraph" w:styleId="8">
    <w:name w:val="heading 4"/>
    <w:basedOn w:val="1"/>
    <w:next w:val="1"/>
    <w:link w:val="45"/>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9">
    <w:name w:val="heading 5"/>
    <w:basedOn w:val="1"/>
    <w:next w:val="1"/>
    <w:link w:val="46"/>
    <w:qFormat/>
    <w:uiPriority w:val="0"/>
    <w:pPr>
      <w:keepNext/>
      <w:keepLines/>
      <w:numPr>
        <w:ilvl w:val="4"/>
        <w:numId w:val="1"/>
      </w:numPr>
      <w:adjustRightInd/>
      <w:spacing w:before="280" w:after="290" w:line="376" w:lineRule="auto"/>
      <w:outlineLvl w:val="4"/>
    </w:pPr>
    <w:rPr>
      <w:b/>
      <w:bCs/>
      <w:sz w:val="28"/>
      <w:szCs w:val="28"/>
    </w:rPr>
  </w:style>
  <w:style w:type="paragraph" w:styleId="10">
    <w:name w:val="heading 6"/>
    <w:basedOn w:val="1"/>
    <w:next w:val="1"/>
    <w:link w:val="47"/>
    <w:qFormat/>
    <w:uiPriority w:val="0"/>
    <w:pPr>
      <w:keepNext/>
      <w:keepLines/>
      <w:numPr>
        <w:ilvl w:val="5"/>
        <w:numId w:val="1"/>
      </w:numPr>
      <w:adjustRightInd/>
      <w:spacing w:before="240" w:after="64" w:line="320" w:lineRule="auto"/>
      <w:outlineLvl w:val="5"/>
    </w:pPr>
    <w:rPr>
      <w:rFonts w:ascii="Arial" w:hAnsi="Arial" w:eastAsia="黑体"/>
      <w:b/>
      <w:bCs/>
      <w:sz w:val="24"/>
      <w:szCs w:val="24"/>
    </w:rPr>
  </w:style>
  <w:style w:type="paragraph" w:styleId="11">
    <w:name w:val="heading 7"/>
    <w:basedOn w:val="1"/>
    <w:next w:val="1"/>
    <w:link w:val="48"/>
    <w:qFormat/>
    <w:uiPriority w:val="0"/>
    <w:pPr>
      <w:keepNext/>
      <w:keepLines/>
      <w:numPr>
        <w:ilvl w:val="6"/>
        <w:numId w:val="1"/>
      </w:numPr>
      <w:adjustRightInd/>
      <w:spacing w:before="240" w:after="64" w:line="320" w:lineRule="auto"/>
      <w:outlineLvl w:val="6"/>
    </w:pPr>
    <w:rPr>
      <w:b/>
      <w:bCs/>
      <w:sz w:val="24"/>
      <w:szCs w:val="24"/>
    </w:rPr>
  </w:style>
  <w:style w:type="paragraph" w:styleId="12">
    <w:name w:val="heading 8"/>
    <w:basedOn w:val="1"/>
    <w:next w:val="1"/>
    <w:link w:val="49"/>
    <w:qFormat/>
    <w:uiPriority w:val="0"/>
    <w:pPr>
      <w:keepNext/>
      <w:keepLines/>
      <w:numPr>
        <w:ilvl w:val="7"/>
        <w:numId w:val="1"/>
      </w:numPr>
      <w:adjustRightInd/>
      <w:spacing w:before="240" w:after="64" w:line="320" w:lineRule="auto"/>
      <w:outlineLvl w:val="7"/>
    </w:pPr>
    <w:rPr>
      <w:rFonts w:ascii="Arial" w:hAnsi="Arial" w:eastAsia="黑体"/>
      <w:sz w:val="24"/>
      <w:szCs w:val="24"/>
    </w:rPr>
  </w:style>
  <w:style w:type="paragraph" w:styleId="13">
    <w:name w:val="heading 9"/>
    <w:basedOn w:val="1"/>
    <w:next w:val="1"/>
    <w:link w:val="50"/>
    <w:qFormat/>
    <w:uiPriority w:val="0"/>
    <w:pPr>
      <w:keepNext/>
      <w:keepLines/>
      <w:numPr>
        <w:ilvl w:val="8"/>
        <w:numId w:val="1"/>
      </w:numPr>
      <w:adjustRightInd/>
      <w:spacing w:before="240" w:after="64" w:line="320" w:lineRule="auto"/>
      <w:outlineLvl w:val="8"/>
    </w:pPr>
    <w:rPr>
      <w:rFonts w:ascii="Arial" w:hAnsi="Arial" w:eastAsia="黑体"/>
    </w:rPr>
  </w:style>
  <w:style w:type="character" w:default="1" w:styleId="34">
    <w:name w:val="Default Paragraph Font"/>
    <w:semiHidden/>
    <w:uiPriority w:val="0"/>
  </w:style>
  <w:style w:type="table" w:default="1" w:styleId="3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32"/>
      <w:tblCellMar>
        <w:top w:w="0" w:type="dxa"/>
        <w:left w:w="108" w:type="dxa"/>
        <w:bottom w:w="0" w:type="dxa"/>
        <w:right w:w="108" w:type="dxa"/>
      </w:tblCellMar>
    </w:tblPr>
  </w:style>
  <w:style w:type="paragraph" w:styleId="2">
    <w:name w:val="Body Text First Indent 2"/>
    <w:basedOn w:val="3"/>
    <w:next w:val="1"/>
    <w:qFormat/>
    <w:uiPriority w:val="0"/>
    <w:pPr>
      <w:spacing w:after="0"/>
      <w:ind w:left="0" w:leftChars="0" w:firstLine="420"/>
    </w:pPr>
    <w:rPr>
      <w:rFonts w:ascii="Calibri" w:hAnsi="Calibri"/>
      <w:szCs w:val="20"/>
    </w:rPr>
  </w:style>
  <w:style w:type="paragraph" w:styleId="3">
    <w:name w:val="Body Text Indent"/>
    <w:basedOn w:val="1"/>
    <w:next w:val="4"/>
    <w:link w:val="41"/>
    <w:qFormat/>
    <w:uiPriority w:val="0"/>
    <w:pPr>
      <w:spacing w:after="120"/>
      <w:ind w:left="420" w:leftChars="200"/>
    </w:pPr>
    <w:rPr>
      <w:rFonts w:ascii="仿宋_GB2312" w:hAnsi="黑体"/>
      <w:kern w:val="0"/>
    </w:rPr>
  </w:style>
  <w:style w:type="paragraph" w:styleId="4">
    <w:name w:val="index 5"/>
    <w:basedOn w:val="1"/>
    <w:next w:val="1"/>
    <w:qFormat/>
    <w:uiPriority w:val="0"/>
    <w:pPr>
      <w:ind w:left="1680"/>
    </w:pPr>
  </w:style>
  <w:style w:type="paragraph" w:styleId="14">
    <w:name w:val="toc 7"/>
    <w:basedOn w:val="1"/>
    <w:next w:val="1"/>
    <w:qFormat/>
    <w:uiPriority w:val="0"/>
    <w:pPr>
      <w:tabs>
        <w:tab w:val="right" w:leader="dot" w:pos="9344"/>
      </w:tabs>
      <w:spacing w:line="300" w:lineRule="exact"/>
      <w:ind w:left="1259"/>
    </w:pPr>
    <w:rPr>
      <w:rFonts w:ascii="宋体"/>
    </w:rPr>
  </w:style>
  <w:style w:type="paragraph" w:styleId="15">
    <w:name w:val="Normal Indent"/>
    <w:basedOn w:val="1"/>
    <w:qFormat/>
    <w:uiPriority w:val="0"/>
    <w:pPr>
      <w:ind w:firstLine="420"/>
    </w:pPr>
  </w:style>
  <w:style w:type="paragraph" w:styleId="16">
    <w:name w:val="annotation text"/>
    <w:basedOn w:val="1"/>
    <w:link w:val="51"/>
    <w:qFormat/>
    <w:uiPriority w:val="0"/>
    <w:pPr>
      <w:jc w:val="left"/>
    </w:pPr>
  </w:style>
  <w:style w:type="paragraph" w:styleId="17">
    <w:name w:val="Body Text"/>
    <w:basedOn w:val="1"/>
    <w:link w:val="52"/>
    <w:qFormat/>
    <w:uiPriority w:val="0"/>
    <w:pPr>
      <w:spacing w:after="120"/>
    </w:pPr>
  </w:style>
  <w:style w:type="paragraph" w:styleId="18">
    <w:name w:val="toc 5"/>
    <w:basedOn w:val="1"/>
    <w:next w:val="1"/>
    <w:qFormat/>
    <w:uiPriority w:val="0"/>
    <w:pPr>
      <w:ind w:left="839"/>
    </w:pPr>
    <w:rPr>
      <w:rFonts w:ascii="宋体"/>
    </w:rPr>
  </w:style>
  <w:style w:type="paragraph" w:styleId="19">
    <w:name w:val="toc 3"/>
    <w:basedOn w:val="1"/>
    <w:next w:val="1"/>
    <w:qFormat/>
    <w:uiPriority w:val="0"/>
    <w:pPr>
      <w:spacing w:line="300" w:lineRule="exact"/>
      <w:ind w:left="420"/>
    </w:pPr>
    <w:rPr>
      <w:rFonts w:ascii="宋体"/>
    </w:rPr>
  </w:style>
  <w:style w:type="paragraph" w:styleId="20">
    <w:name w:val="Balloon Text"/>
    <w:basedOn w:val="1"/>
    <w:link w:val="53"/>
    <w:qFormat/>
    <w:uiPriority w:val="0"/>
    <w:rPr>
      <w:sz w:val="18"/>
      <w:szCs w:val="18"/>
    </w:rPr>
  </w:style>
  <w:style w:type="paragraph" w:styleId="21">
    <w:name w:val="footer"/>
    <w:basedOn w:val="1"/>
    <w:link w:val="54"/>
    <w:qFormat/>
    <w:uiPriority w:val="0"/>
    <w:pPr>
      <w:tabs>
        <w:tab w:val="center" w:pos="4153"/>
        <w:tab w:val="right" w:pos="8306"/>
      </w:tabs>
      <w:adjustRightInd/>
      <w:snapToGrid w:val="0"/>
      <w:spacing w:line="240" w:lineRule="auto"/>
      <w:jc w:val="right"/>
    </w:pPr>
    <w:rPr>
      <w:rFonts w:ascii="宋体"/>
      <w:sz w:val="18"/>
      <w:szCs w:val="18"/>
    </w:rPr>
  </w:style>
  <w:style w:type="paragraph" w:styleId="22">
    <w:name w:val="header"/>
    <w:basedOn w:val="1"/>
    <w:link w:val="59"/>
    <w:qFormat/>
    <w:uiPriority w:val="0"/>
    <w:pPr>
      <w:tabs>
        <w:tab w:val="center" w:pos="4153"/>
        <w:tab w:val="right" w:pos="8306"/>
      </w:tabs>
      <w:adjustRightInd/>
      <w:snapToGrid w:val="0"/>
      <w:jc w:val="center"/>
    </w:pPr>
    <w:rPr>
      <w:sz w:val="18"/>
      <w:szCs w:val="18"/>
    </w:rPr>
  </w:style>
  <w:style w:type="paragraph" w:styleId="23">
    <w:name w:val="toc 1"/>
    <w:basedOn w:val="1"/>
    <w:next w:val="1"/>
    <w:qFormat/>
    <w:uiPriority w:val="0"/>
    <w:rPr>
      <w:rFonts w:ascii="宋体"/>
    </w:rPr>
  </w:style>
  <w:style w:type="paragraph" w:styleId="24">
    <w:name w:val="toc 4"/>
    <w:basedOn w:val="1"/>
    <w:next w:val="1"/>
    <w:qFormat/>
    <w:uiPriority w:val="0"/>
    <w:pPr>
      <w:tabs>
        <w:tab w:val="right" w:leader="dot" w:pos="9344"/>
      </w:tabs>
      <w:spacing w:line="300" w:lineRule="exact"/>
      <w:ind w:left="629"/>
    </w:pPr>
    <w:rPr>
      <w:rFonts w:ascii="宋体"/>
    </w:rPr>
  </w:style>
  <w:style w:type="paragraph" w:styleId="25">
    <w:name w:val="footnote text"/>
    <w:basedOn w:val="1"/>
    <w:next w:val="1"/>
    <w:link w:val="56"/>
    <w:qFormat/>
    <w:uiPriority w:val="0"/>
    <w:pPr>
      <w:adjustRightInd/>
      <w:snapToGrid w:val="0"/>
      <w:spacing w:line="300" w:lineRule="exact"/>
      <w:ind w:left="400" w:leftChars="200" w:hanging="200" w:hangingChars="200"/>
      <w:jc w:val="left"/>
    </w:pPr>
    <w:rPr>
      <w:rFonts w:ascii="宋体"/>
      <w:sz w:val="18"/>
      <w:szCs w:val="18"/>
    </w:rPr>
  </w:style>
  <w:style w:type="paragraph" w:styleId="26">
    <w:name w:val="toc 6"/>
    <w:basedOn w:val="1"/>
    <w:next w:val="1"/>
    <w:qFormat/>
    <w:uiPriority w:val="0"/>
    <w:pPr>
      <w:spacing w:line="300" w:lineRule="exact"/>
      <w:ind w:left="1049"/>
    </w:pPr>
    <w:rPr>
      <w:rFonts w:ascii="宋体"/>
    </w:rPr>
  </w:style>
  <w:style w:type="paragraph" w:styleId="27">
    <w:name w:val="table of figures"/>
    <w:basedOn w:val="1"/>
    <w:next w:val="1"/>
    <w:qFormat/>
    <w:uiPriority w:val="0"/>
    <w:pPr>
      <w:adjustRightInd/>
      <w:spacing w:line="240" w:lineRule="auto"/>
      <w:jc w:val="left"/>
    </w:pPr>
    <w:rPr>
      <w:szCs w:val="24"/>
    </w:rPr>
  </w:style>
  <w:style w:type="paragraph" w:styleId="28">
    <w:name w:val="toc 2"/>
    <w:basedOn w:val="1"/>
    <w:next w:val="1"/>
    <w:qFormat/>
    <w:uiPriority w:val="0"/>
    <w:pPr>
      <w:tabs>
        <w:tab w:val="right" w:leader="dot" w:pos="9344"/>
      </w:tabs>
      <w:spacing w:line="300" w:lineRule="exact"/>
      <w:ind w:left="210"/>
    </w:pPr>
    <w:rPr>
      <w:rFonts w:ascii="宋体"/>
    </w:rPr>
  </w:style>
  <w:style w:type="paragraph" w:styleId="29">
    <w:name w:val="Normal (Web)"/>
    <w:basedOn w:val="1"/>
    <w:qFormat/>
    <w:uiPriority w:val="0"/>
    <w:pPr>
      <w:spacing w:beforeAutospacing="1" w:afterAutospacing="1"/>
      <w:jc w:val="left"/>
    </w:pPr>
    <w:rPr>
      <w:kern w:val="0"/>
      <w:sz w:val="24"/>
    </w:rPr>
  </w:style>
  <w:style w:type="paragraph" w:styleId="30">
    <w:name w:val="Title"/>
    <w:basedOn w:val="1"/>
    <w:link w:val="57"/>
    <w:qFormat/>
    <w:uiPriority w:val="0"/>
    <w:pPr>
      <w:spacing w:before="240" w:after="60"/>
      <w:jc w:val="center"/>
      <w:outlineLvl w:val="0"/>
    </w:pPr>
    <w:rPr>
      <w:rFonts w:ascii="Arial" w:hAnsi="Arial" w:cs="Arial"/>
      <w:b/>
      <w:bCs/>
      <w:sz w:val="32"/>
      <w:szCs w:val="32"/>
    </w:rPr>
  </w:style>
  <w:style w:type="paragraph" w:styleId="31">
    <w:name w:val="annotation subject"/>
    <w:basedOn w:val="16"/>
    <w:next w:val="16"/>
    <w:link w:val="58"/>
    <w:qFormat/>
    <w:uiPriority w:val="0"/>
    <w:rPr>
      <w:b/>
      <w:bCs/>
    </w:rPr>
  </w:style>
  <w:style w:type="table" w:styleId="33">
    <w:name w:val="Table Grid"/>
    <w:basedOn w:val="32"/>
    <w:qFormat/>
    <w:uiPriority w:val="0"/>
    <w:tblPr>
      <w:tblStyle w:val="3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page number"/>
    <w:qFormat/>
    <w:uiPriority w:val="0"/>
    <w:rPr>
      <w:rFonts w:ascii="宋体" w:hAnsi="Times New Roman" w:eastAsia="宋体"/>
      <w:sz w:val="18"/>
    </w:rPr>
  </w:style>
  <w:style w:type="character" w:styleId="37">
    <w:name w:val="Emphasis"/>
    <w:qFormat/>
    <w:uiPriority w:val="0"/>
    <w:rPr>
      <w:i/>
      <w:iCs/>
    </w:rPr>
  </w:style>
  <w:style w:type="character" w:styleId="38">
    <w:name w:val="Hyperlink"/>
    <w:qFormat/>
    <w:uiPriority w:val="0"/>
    <w:rPr>
      <w:rFonts w:ascii="宋体" w:hAnsi="Times New Roman" w:eastAsia="宋体"/>
      <w:color w:val="auto"/>
      <w:spacing w:val="0"/>
      <w:w w:val="100"/>
      <w:position w:val="0"/>
      <w:sz w:val="21"/>
      <w:u w:val="none"/>
      <w:vertAlign w:val="baseline"/>
    </w:rPr>
  </w:style>
  <w:style w:type="character" w:styleId="39">
    <w:name w:val="annotation reference"/>
    <w:qFormat/>
    <w:uiPriority w:val="0"/>
    <w:rPr>
      <w:sz w:val="21"/>
      <w:szCs w:val="21"/>
    </w:rPr>
  </w:style>
  <w:style w:type="character" w:styleId="40">
    <w:name w:val="footnote reference"/>
    <w:qFormat/>
    <w:uiPriority w:val="0"/>
    <w:rPr>
      <w:rFonts w:ascii="宋体" w:hAnsi="宋体" w:eastAsia="宋体" w:cs="Times New Roman"/>
      <w:spacing w:val="0"/>
      <w:sz w:val="18"/>
      <w:vertAlign w:val="superscript"/>
    </w:rPr>
  </w:style>
  <w:style w:type="character" w:customStyle="1" w:styleId="41">
    <w:name w:val="正文文本缩进 字符"/>
    <w:basedOn w:val="34"/>
    <w:link w:val="3"/>
    <w:qFormat/>
    <w:uiPriority w:val="0"/>
    <w:rPr>
      <w:rFonts w:hint="default" w:ascii="Calibri" w:hAnsi="Calibri" w:cs="Calibri"/>
      <w:kern w:val="2"/>
      <w:sz w:val="21"/>
      <w:szCs w:val="24"/>
    </w:rPr>
  </w:style>
  <w:style w:type="character" w:customStyle="1" w:styleId="42">
    <w:name w:val="标题 1 Char"/>
    <w:link w:val="5"/>
    <w:qFormat/>
    <w:uiPriority w:val="0"/>
    <w:rPr>
      <w:rFonts w:ascii="Times New Roman" w:hAnsi="Times New Roman" w:eastAsia="宋体" w:cs="Times New Roman"/>
      <w:b/>
      <w:bCs/>
      <w:kern w:val="44"/>
      <w:sz w:val="44"/>
      <w:szCs w:val="44"/>
    </w:rPr>
  </w:style>
  <w:style w:type="character" w:customStyle="1" w:styleId="43">
    <w:name w:val="标题 2 Char"/>
    <w:link w:val="6"/>
    <w:qFormat/>
    <w:uiPriority w:val="0"/>
    <w:rPr>
      <w:rFonts w:ascii="Arial" w:hAnsi="Arial" w:eastAsia="黑体" w:cs="Times New Roman"/>
      <w:b/>
      <w:bCs/>
      <w:sz w:val="32"/>
      <w:szCs w:val="32"/>
    </w:rPr>
  </w:style>
  <w:style w:type="character" w:customStyle="1" w:styleId="44">
    <w:name w:val="标题 3 Char"/>
    <w:link w:val="7"/>
    <w:qFormat/>
    <w:uiPriority w:val="0"/>
    <w:rPr>
      <w:rFonts w:ascii="Times New Roman" w:hAnsi="Times New Roman" w:eastAsia="宋体" w:cs="Times New Roman"/>
      <w:b/>
      <w:bCs/>
      <w:sz w:val="32"/>
      <w:szCs w:val="32"/>
    </w:rPr>
  </w:style>
  <w:style w:type="character" w:customStyle="1" w:styleId="45">
    <w:name w:val="标题 4 Char"/>
    <w:link w:val="8"/>
    <w:qFormat/>
    <w:uiPriority w:val="0"/>
    <w:rPr>
      <w:rFonts w:ascii="Arial" w:hAnsi="Arial" w:eastAsia="黑体" w:cs="Times New Roman"/>
      <w:b/>
      <w:bCs/>
      <w:sz w:val="28"/>
      <w:szCs w:val="28"/>
    </w:rPr>
  </w:style>
  <w:style w:type="character" w:customStyle="1" w:styleId="46">
    <w:name w:val="标题 5 Char"/>
    <w:link w:val="9"/>
    <w:qFormat/>
    <w:uiPriority w:val="0"/>
    <w:rPr>
      <w:rFonts w:ascii="Times New Roman" w:hAnsi="Times New Roman" w:eastAsia="宋体" w:cs="Times New Roman"/>
      <w:b/>
      <w:bCs/>
      <w:sz w:val="28"/>
      <w:szCs w:val="28"/>
    </w:rPr>
  </w:style>
  <w:style w:type="character" w:customStyle="1" w:styleId="47">
    <w:name w:val="标题 6 Char"/>
    <w:link w:val="10"/>
    <w:qFormat/>
    <w:uiPriority w:val="0"/>
    <w:rPr>
      <w:rFonts w:ascii="Arial" w:hAnsi="Arial" w:eastAsia="黑体" w:cs="Times New Roman"/>
      <w:b/>
      <w:bCs/>
      <w:sz w:val="24"/>
      <w:szCs w:val="24"/>
    </w:rPr>
  </w:style>
  <w:style w:type="character" w:customStyle="1" w:styleId="48">
    <w:name w:val="标题 7 Char"/>
    <w:link w:val="11"/>
    <w:qFormat/>
    <w:uiPriority w:val="0"/>
    <w:rPr>
      <w:rFonts w:ascii="Times New Roman" w:hAnsi="Times New Roman" w:eastAsia="宋体" w:cs="Times New Roman"/>
      <w:b/>
      <w:bCs/>
      <w:sz w:val="24"/>
      <w:szCs w:val="24"/>
    </w:rPr>
  </w:style>
  <w:style w:type="character" w:customStyle="1" w:styleId="49">
    <w:name w:val="标题 8 Char"/>
    <w:link w:val="12"/>
    <w:qFormat/>
    <w:uiPriority w:val="0"/>
    <w:rPr>
      <w:rFonts w:ascii="Arial" w:hAnsi="Arial" w:eastAsia="黑体" w:cs="Times New Roman"/>
      <w:sz w:val="24"/>
      <w:szCs w:val="24"/>
    </w:rPr>
  </w:style>
  <w:style w:type="character" w:customStyle="1" w:styleId="50">
    <w:name w:val="标题 9 Char"/>
    <w:link w:val="13"/>
    <w:qFormat/>
    <w:uiPriority w:val="0"/>
    <w:rPr>
      <w:rFonts w:ascii="Arial" w:hAnsi="Arial" w:eastAsia="黑体" w:cs="Times New Roman"/>
      <w:szCs w:val="21"/>
    </w:rPr>
  </w:style>
  <w:style w:type="character" w:customStyle="1" w:styleId="51">
    <w:name w:val="批注文字 Char"/>
    <w:link w:val="16"/>
    <w:qFormat/>
    <w:uiPriority w:val="0"/>
    <w:rPr>
      <w:rFonts w:ascii="Calibri" w:hAnsi="Calibri"/>
      <w:kern w:val="2"/>
      <w:sz w:val="21"/>
      <w:szCs w:val="21"/>
    </w:rPr>
  </w:style>
  <w:style w:type="character" w:customStyle="1" w:styleId="52">
    <w:name w:val="正文文本 Char"/>
    <w:link w:val="17"/>
    <w:qFormat/>
    <w:uiPriority w:val="0"/>
    <w:rPr>
      <w:rFonts w:ascii="Times New Roman" w:hAnsi="Times New Roman" w:eastAsia="宋体" w:cs="Times New Roman"/>
      <w:szCs w:val="20"/>
    </w:rPr>
  </w:style>
  <w:style w:type="character" w:customStyle="1" w:styleId="53">
    <w:name w:val="批注框文本 Char"/>
    <w:link w:val="20"/>
    <w:semiHidden/>
    <w:qFormat/>
    <w:uiPriority w:val="99"/>
    <w:rPr>
      <w:sz w:val="18"/>
      <w:szCs w:val="18"/>
    </w:rPr>
  </w:style>
  <w:style w:type="character" w:customStyle="1" w:styleId="54">
    <w:name w:val="页脚 Char"/>
    <w:link w:val="21"/>
    <w:qFormat/>
    <w:uiPriority w:val="99"/>
    <w:rPr>
      <w:rFonts w:ascii="宋体" w:hAnsi="Times New Roman" w:eastAsia="宋体" w:cs="Times New Roman"/>
      <w:sz w:val="18"/>
      <w:szCs w:val="18"/>
    </w:rPr>
  </w:style>
  <w:style w:type="character" w:customStyle="1" w:styleId="55">
    <w:name w:val="页眉 字符"/>
    <w:basedOn w:val="34"/>
    <w:link w:val="22"/>
    <w:uiPriority w:val="0"/>
    <w:rPr>
      <w:rFonts w:hint="default" w:ascii="Calibri" w:hAnsi="Calibri" w:cs="Calibri"/>
      <w:kern w:val="2"/>
      <w:sz w:val="18"/>
      <w:szCs w:val="18"/>
    </w:rPr>
  </w:style>
  <w:style w:type="character" w:customStyle="1" w:styleId="56">
    <w:name w:val="脚注文本 Char"/>
    <w:link w:val="25"/>
    <w:semiHidden/>
    <w:qFormat/>
    <w:uiPriority w:val="0"/>
    <w:rPr>
      <w:rFonts w:ascii="宋体" w:hAnsi="Times New Roman" w:eastAsia="宋体" w:cs="Times New Roman"/>
      <w:sz w:val="18"/>
      <w:szCs w:val="18"/>
    </w:rPr>
  </w:style>
  <w:style w:type="character" w:customStyle="1" w:styleId="57">
    <w:name w:val="标题 Char"/>
    <w:link w:val="30"/>
    <w:qFormat/>
    <w:uiPriority w:val="0"/>
    <w:rPr>
      <w:rFonts w:ascii="Arial" w:hAnsi="Arial" w:eastAsia="宋体" w:cs="Arial"/>
      <w:b/>
      <w:bCs/>
      <w:sz w:val="32"/>
      <w:szCs w:val="32"/>
    </w:rPr>
  </w:style>
  <w:style w:type="character" w:customStyle="1" w:styleId="58">
    <w:name w:val="批注主题 Char"/>
    <w:link w:val="31"/>
    <w:qFormat/>
    <w:uiPriority w:val="0"/>
    <w:rPr>
      <w:rFonts w:ascii="Calibri" w:hAnsi="Calibri"/>
      <w:b/>
      <w:bCs/>
      <w:kern w:val="2"/>
      <w:sz w:val="21"/>
      <w:szCs w:val="21"/>
    </w:rPr>
  </w:style>
  <w:style w:type="character" w:customStyle="1" w:styleId="59">
    <w:name w:val="页眉 Char"/>
    <w:link w:val="22"/>
    <w:qFormat/>
    <w:uiPriority w:val="99"/>
    <w:rPr>
      <w:rFonts w:ascii="Times New Roman" w:hAnsi="Times New Roman" w:eastAsia="宋体" w:cs="Times New Roman"/>
      <w:sz w:val="18"/>
      <w:szCs w:val="18"/>
    </w:rPr>
  </w:style>
  <w:style w:type="paragraph" w:styleId="60">
    <w:name w:val="Quote"/>
    <w:basedOn w:val="1"/>
    <w:next w:val="1"/>
    <w:link w:val="61"/>
    <w:qFormat/>
    <w:uiPriority w:val="29"/>
    <w:rPr>
      <w:i/>
      <w:iCs/>
      <w:color w:val="000000"/>
    </w:rPr>
  </w:style>
  <w:style w:type="character" w:customStyle="1" w:styleId="61">
    <w:name w:val="引用 Char"/>
    <w:link w:val="60"/>
    <w:qFormat/>
    <w:uiPriority w:val="29"/>
    <w:rPr>
      <w:i/>
      <w:iCs/>
      <w:color w:val="000000"/>
    </w:rPr>
  </w:style>
  <w:style w:type="paragraph" w:customStyle="1" w:styleId="6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6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6">
    <w:name w:val="标准书眉一"/>
    <w:qFormat/>
    <w:uiPriority w:val="0"/>
    <w:pPr>
      <w:jc w:val="both"/>
    </w:pPr>
    <w:rPr>
      <w:rFonts w:ascii="Times New Roman" w:hAnsi="Times New Roman" w:eastAsia="宋体" w:cs="Times New Roman"/>
      <w:lang w:val="en-US" w:eastAsia="zh-CN" w:bidi="ar-SA"/>
    </w:rPr>
  </w:style>
  <w:style w:type="paragraph" w:customStyle="1" w:styleId="67">
    <w:name w:val="标准文件_ICS"/>
    <w:basedOn w:val="1"/>
    <w:qFormat/>
    <w:uiPriority w:val="0"/>
    <w:pPr>
      <w:spacing w:line="0" w:lineRule="atLeast"/>
    </w:pPr>
    <w:rPr>
      <w:rFonts w:ascii="黑体" w:hAnsi="宋体" w:eastAsia="黑体"/>
    </w:rPr>
  </w:style>
  <w:style w:type="paragraph" w:customStyle="1" w:styleId="68">
    <w:name w:val="标准文件_标准正文"/>
    <w:basedOn w:val="1"/>
    <w:next w:val="69"/>
    <w:qFormat/>
    <w:uiPriority w:val="0"/>
    <w:pPr>
      <w:snapToGrid w:val="0"/>
      <w:ind w:firstLine="200" w:firstLineChars="200"/>
    </w:pPr>
    <w:rPr>
      <w:kern w:val="0"/>
    </w:rPr>
  </w:style>
  <w:style w:type="paragraph" w:customStyle="1" w:styleId="69">
    <w:name w:val="标准文件_段"/>
    <w:link w:val="7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0">
    <w:name w:val="标准文件_段 Char"/>
    <w:link w:val="69"/>
    <w:qFormat/>
    <w:uiPriority w:val="0"/>
    <w:rPr>
      <w:rFonts w:ascii="宋体" w:hAnsi="Times New Roman"/>
      <w:sz w:val="21"/>
    </w:rPr>
  </w:style>
  <w:style w:type="paragraph" w:customStyle="1" w:styleId="71">
    <w:name w:val="标准文件_版本"/>
    <w:basedOn w:val="68"/>
    <w:qFormat/>
    <w:uiPriority w:val="0"/>
    <w:pPr>
      <w:adjustRightInd/>
      <w:snapToGrid/>
      <w:ind w:firstLine="0" w:firstLineChars="0"/>
    </w:pPr>
    <w:rPr>
      <w:rFonts w:ascii="宋体" w:hAnsi="宋体"/>
      <w:kern w:val="2"/>
    </w:rPr>
  </w:style>
  <w:style w:type="paragraph" w:customStyle="1" w:styleId="72">
    <w:name w:val="标准文件_标准部门"/>
    <w:basedOn w:val="1"/>
    <w:qFormat/>
    <w:uiPriority w:val="0"/>
    <w:pPr>
      <w:jc w:val="center"/>
    </w:pPr>
    <w:rPr>
      <w:rFonts w:ascii="黑体" w:eastAsia="黑体"/>
      <w:kern w:val="0"/>
      <w:sz w:val="44"/>
    </w:rPr>
  </w:style>
  <w:style w:type="paragraph" w:customStyle="1" w:styleId="73">
    <w:name w:val="标准文件_标准代替"/>
    <w:basedOn w:val="1"/>
    <w:next w:val="1"/>
    <w:qFormat/>
    <w:uiPriority w:val="0"/>
    <w:pPr>
      <w:spacing w:line="310" w:lineRule="exact"/>
      <w:jc w:val="right"/>
    </w:pPr>
    <w:rPr>
      <w:rFonts w:ascii="宋体" w:hAnsi="宋体"/>
      <w:kern w:val="0"/>
    </w:rPr>
  </w:style>
  <w:style w:type="paragraph" w:customStyle="1" w:styleId="7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7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6">
    <w:name w:val="标准文件_页眉偶数页"/>
    <w:basedOn w:val="75"/>
    <w:next w:val="1"/>
    <w:qFormat/>
    <w:uiPriority w:val="0"/>
    <w:pPr>
      <w:jc w:val="left"/>
    </w:pPr>
  </w:style>
  <w:style w:type="paragraph" w:customStyle="1" w:styleId="77">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78">
    <w:name w:val="标准文件_参考文献条目"/>
    <w:qFormat/>
    <w:uiPriority w:val="0"/>
    <w:pPr>
      <w:numPr>
        <w:ilvl w:val="0"/>
        <w:numId w:val="2"/>
      </w:numPr>
    </w:pPr>
    <w:rPr>
      <w:rFonts w:ascii="宋体" w:hAnsi="Times New Roman" w:eastAsia="宋体" w:cs="Times New Roman"/>
      <w:lang w:val="en-US" w:eastAsia="zh-CN" w:bidi="ar-SA"/>
    </w:rPr>
  </w:style>
  <w:style w:type="paragraph" w:customStyle="1" w:styleId="79">
    <w:name w:val="标准文件_二级条标题"/>
    <w:next w:val="1"/>
    <w:qFormat/>
    <w:uiPriority w:val="0"/>
    <w:pPr>
      <w:widowControl w:val="0"/>
      <w:numPr>
        <w:ilvl w:val="3"/>
        <w:numId w:val="3"/>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80">
    <w:name w:val="标准文件_方框数字列项"/>
    <w:basedOn w:val="69"/>
    <w:qFormat/>
    <w:uiPriority w:val="0"/>
    <w:pPr>
      <w:numPr>
        <w:ilvl w:val="0"/>
        <w:numId w:val="4"/>
      </w:numPr>
      <w:ind w:firstLine="0" w:firstLineChars="0"/>
    </w:pPr>
  </w:style>
  <w:style w:type="paragraph" w:customStyle="1" w:styleId="81">
    <w:name w:val="标准文件_封面标准编号"/>
    <w:basedOn w:val="1"/>
    <w:next w:val="73"/>
    <w:qFormat/>
    <w:uiPriority w:val="0"/>
    <w:pPr>
      <w:spacing w:line="310" w:lineRule="exact"/>
      <w:jc w:val="right"/>
    </w:pPr>
    <w:rPr>
      <w:rFonts w:ascii="黑体" w:eastAsia="黑体"/>
      <w:kern w:val="0"/>
      <w:sz w:val="28"/>
    </w:rPr>
  </w:style>
  <w:style w:type="paragraph" w:customStyle="1" w:styleId="82">
    <w:name w:val="标准文件_封面标准分类号"/>
    <w:basedOn w:val="1"/>
    <w:qFormat/>
    <w:uiPriority w:val="0"/>
    <w:rPr>
      <w:rFonts w:ascii="黑体" w:eastAsia="黑体"/>
      <w:b/>
      <w:kern w:val="0"/>
      <w:sz w:val="28"/>
    </w:rPr>
  </w:style>
  <w:style w:type="paragraph" w:customStyle="1" w:styleId="83">
    <w:name w:val="标准文件_封面标准名称"/>
    <w:basedOn w:val="1"/>
    <w:qFormat/>
    <w:uiPriority w:val="0"/>
    <w:pPr>
      <w:spacing w:line="240" w:lineRule="auto"/>
      <w:jc w:val="center"/>
    </w:pPr>
    <w:rPr>
      <w:rFonts w:ascii="黑体" w:eastAsia="黑体"/>
      <w:kern w:val="0"/>
      <w:sz w:val="52"/>
    </w:rPr>
  </w:style>
  <w:style w:type="paragraph" w:customStyle="1" w:styleId="84">
    <w:name w:val="标准文件_封面标准英文名称"/>
    <w:basedOn w:val="1"/>
    <w:qFormat/>
    <w:uiPriority w:val="0"/>
    <w:pPr>
      <w:spacing w:line="240" w:lineRule="auto"/>
      <w:jc w:val="center"/>
    </w:pPr>
    <w:rPr>
      <w:rFonts w:ascii="黑体" w:eastAsia="黑体"/>
      <w:b/>
      <w:sz w:val="28"/>
    </w:rPr>
  </w:style>
  <w:style w:type="paragraph" w:customStyle="1" w:styleId="85">
    <w:name w:val="标准文件_封面发布日期"/>
    <w:basedOn w:val="1"/>
    <w:qFormat/>
    <w:uiPriority w:val="0"/>
    <w:pPr>
      <w:spacing w:line="310" w:lineRule="exact"/>
    </w:pPr>
    <w:rPr>
      <w:rFonts w:ascii="黑体" w:eastAsia="黑体"/>
      <w:kern w:val="0"/>
      <w:sz w:val="28"/>
    </w:rPr>
  </w:style>
  <w:style w:type="paragraph" w:customStyle="1" w:styleId="86">
    <w:name w:val="标准文件_封面密级"/>
    <w:basedOn w:val="1"/>
    <w:qFormat/>
    <w:uiPriority w:val="0"/>
    <w:rPr>
      <w:rFonts w:eastAsia="黑体"/>
      <w:sz w:val="32"/>
    </w:rPr>
  </w:style>
  <w:style w:type="paragraph" w:customStyle="1" w:styleId="87">
    <w:name w:val="标准文件_封面实施日期"/>
    <w:basedOn w:val="1"/>
    <w:qFormat/>
    <w:uiPriority w:val="0"/>
    <w:pPr>
      <w:spacing w:line="310" w:lineRule="exact"/>
      <w:jc w:val="right"/>
    </w:pPr>
    <w:rPr>
      <w:rFonts w:ascii="黑体" w:eastAsia="黑体"/>
      <w:sz w:val="28"/>
    </w:rPr>
  </w:style>
  <w:style w:type="paragraph" w:customStyle="1" w:styleId="88">
    <w:name w:val="标准文件_封面抬头"/>
    <w:basedOn w:val="69"/>
    <w:qFormat/>
    <w:uiPriority w:val="0"/>
    <w:pPr>
      <w:adjustRightInd w:val="0"/>
      <w:spacing w:line="800" w:lineRule="exact"/>
      <w:ind w:firstLine="0" w:firstLineChars="0"/>
      <w:jc w:val="distribute"/>
    </w:pPr>
    <w:rPr>
      <w:rFonts w:ascii="黑体" w:eastAsia="黑体"/>
      <w:b/>
      <w:sz w:val="64"/>
    </w:rPr>
  </w:style>
  <w:style w:type="paragraph" w:customStyle="1" w:styleId="89">
    <w:name w:val="标准文件_附录标识"/>
    <w:next w:val="69"/>
    <w:qFormat/>
    <w:uiPriority w:val="0"/>
    <w:pPr>
      <w:numPr>
        <w:ilvl w:val="0"/>
        <w:numId w:val="5"/>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90">
    <w:name w:val="标准文件_附录表标题"/>
    <w:next w:val="69"/>
    <w:qFormat/>
    <w:uiPriority w:val="0"/>
    <w:pPr>
      <w:numPr>
        <w:ilvl w:val="1"/>
        <w:numId w:val="6"/>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91">
    <w:name w:val="标准文件_附录一级条标题"/>
    <w:next w:val="69"/>
    <w:qFormat/>
    <w:uiPriority w:val="0"/>
    <w:pPr>
      <w:widowControl w:val="0"/>
      <w:numPr>
        <w:ilvl w:val="1"/>
        <w:numId w:val="5"/>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92">
    <w:name w:val="标准文件_附录二级条标题"/>
    <w:basedOn w:val="91"/>
    <w:next w:val="69"/>
    <w:qFormat/>
    <w:uiPriority w:val="0"/>
    <w:pPr>
      <w:widowControl/>
      <w:numPr>
        <w:ilvl w:val="2"/>
      </w:numPr>
      <w:wordWrap w:val="0"/>
      <w:overflowPunct w:val="0"/>
      <w:autoSpaceDE w:val="0"/>
      <w:autoSpaceDN w:val="0"/>
      <w:textAlignment w:val="baseline"/>
      <w:outlineLvl w:val="3"/>
    </w:pPr>
  </w:style>
  <w:style w:type="paragraph" w:customStyle="1" w:styleId="93">
    <w:name w:val="标准文件_附录公式"/>
    <w:basedOn w:val="68"/>
    <w:next w:val="6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4">
    <w:name w:val="标准文件_附录三级条标题"/>
    <w:next w:val="69"/>
    <w:qFormat/>
    <w:uiPriority w:val="0"/>
    <w:pPr>
      <w:widowControl w:val="0"/>
      <w:numPr>
        <w:ilvl w:val="3"/>
        <w:numId w:val="5"/>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95">
    <w:name w:val="标准文件_附录四级条标题"/>
    <w:next w:val="69"/>
    <w:qFormat/>
    <w:uiPriority w:val="0"/>
    <w:pPr>
      <w:widowControl w:val="0"/>
      <w:numPr>
        <w:ilvl w:val="4"/>
        <w:numId w:val="5"/>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96">
    <w:name w:val="标准文件_附录图标题"/>
    <w:next w:val="69"/>
    <w:qFormat/>
    <w:uiPriority w:val="0"/>
    <w:pPr>
      <w:numPr>
        <w:ilvl w:val="1"/>
        <w:numId w:val="7"/>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97">
    <w:name w:val="标准文件_附录五级条标题"/>
    <w:next w:val="69"/>
    <w:qFormat/>
    <w:uiPriority w:val="0"/>
    <w:pPr>
      <w:widowControl w:val="0"/>
      <w:numPr>
        <w:ilvl w:val="5"/>
        <w:numId w:val="5"/>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8">
    <w:name w:val="标准文件_附录英文标识"/>
    <w:next w:val="17"/>
    <w:qFormat/>
    <w:uiPriority w:val="0"/>
    <w:pPr>
      <w:numPr>
        <w:ilvl w:val="0"/>
        <w:numId w:val="8"/>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99">
    <w:name w:val="标准文件_附录章标题"/>
    <w:next w:val="6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0">
    <w:name w:val="标准文件_公式后的破折号"/>
    <w:basedOn w:val="69"/>
    <w:next w:val="69"/>
    <w:qFormat/>
    <w:uiPriority w:val="0"/>
    <w:pPr>
      <w:ind w:left="488" w:leftChars="200" w:hanging="289" w:hangingChars="290"/>
    </w:pPr>
  </w:style>
  <w:style w:type="paragraph" w:customStyle="1" w:styleId="101">
    <w:name w:val="标准文件_前言、引言标题"/>
    <w:next w:val="1"/>
    <w:qFormat/>
    <w:uiPriority w:val="0"/>
    <w:pPr>
      <w:numPr>
        <w:ilvl w:val="0"/>
        <w:numId w:val="9"/>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102">
    <w:name w:val="标准文件_目次、标准名称标题"/>
    <w:basedOn w:val="101"/>
    <w:next w:val="69"/>
    <w:qFormat/>
    <w:uiPriority w:val="0"/>
    <w:pPr>
      <w:spacing w:line="460" w:lineRule="exact"/>
    </w:pPr>
  </w:style>
  <w:style w:type="paragraph" w:customStyle="1" w:styleId="103">
    <w:name w:val="标准文件_目录标题"/>
    <w:basedOn w:val="1"/>
    <w:qFormat/>
    <w:uiPriority w:val="0"/>
    <w:pPr>
      <w:spacing w:after="150" w:afterLines="150" w:line="240" w:lineRule="auto"/>
      <w:jc w:val="center"/>
    </w:pPr>
    <w:rPr>
      <w:rFonts w:ascii="黑体" w:eastAsia="黑体"/>
      <w:sz w:val="32"/>
    </w:rPr>
  </w:style>
  <w:style w:type="paragraph" w:customStyle="1" w:styleId="104">
    <w:name w:val="标准文件_破折号列项"/>
    <w:qFormat/>
    <w:uiPriority w:val="0"/>
    <w:pPr>
      <w:numPr>
        <w:ilvl w:val="0"/>
        <w:numId w:val="10"/>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5">
    <w:name w:val="标准文件_破折号列项（二级）"/>
    <w:basedOn w:val="104"/>
    <w:qFormat/>
    <w:uiPriority w:val="0"/>
    <w:pPr>
      <w:numPr>
        <w:numId w:val="11"/>
      </w:numPr>
      <w:ind w:left="0" w:firstLine="200"/>
    </w:pPr>
  </w:style>
  <w:style w:type="paragraph" w:customStyle="1" w:styleId="106">
    <w:name w:val="标准文件_三级条标题"/>
    <w:basedOn w:val="79"/>
    <w:next w:val="1"/>
    <w:qFormat/>
    <w:uiPriority w:val="0"/>
    <w:pPr>
      <w:widowControl/>
      <w:numPr>
        <w:ilvl w:val="4"/>
      </w:numPr>
      <w:ind w:left="851"/>
      <w:outlineLvl w:val="3"/>
    </w:pPr>
  </w:style>
  <w:style w:type="paragraph" w:customStyle="1" w:styleId="107">
    <w:name w:val="标准文件_示例后续"/>
    <w:basedOn w:val="1"/>
    <w:qFormat/>
    <w:uiPriority w:val="0"/>
    <w:pPr>
      <w:adjustRightInd/>
      <w:spacing w:line="240" w:lineRule="auto"/>
      <w:ind w:firstLine="200" w:firstLineChars="200"/>
    </w:pPr>
    <w:rPr>
      <w:sz w:val="18"/>
      <w:szCs w:val="24"/>
    </w:rPr>
  </w:style>
  <w:style w:type="paragraph" w:customStyle="1" w:styleId="108">
    <w:name w:val="标准文件_数字编号列项"/>
    <w:qFormat/>
    <w:uiPriority w:val="0"/>
    <w:pPr>
      <w:numPr>
        <w:ilvl w:val="0"/>
        <w:numId w:val="12"/>
      </w:numPr>
      <w:jc w:val="both"/>
    </w:pPr>
    <w:rPr>
      <w:rFonts w:ascii="宋体" w:hAnsi="宋体" w:eastAsia="宋体" w:cs="Times New Roman"/>
      <w:sz w:val="21"/>
      <w:lang w:val="en-US" w:eastAsia="zh-CN" w:bidi="ar-SA"/>
    </w:rPr>
  </w:style>
  <w:style w:type="paragraph" w:customStyle="1" w:styleId="109">
    <w:name w:val="标准文件_四级条标题"/>
    <w:next w:val="69"/>
    <w:qFormat/>
    <w:uiPriority w:val="0"/>
    <w:pPr>
      <w:widowControl w:val="0"/>
      <w:numPr>
        <w:ilvl w:val="5"/>
        <w:numId w:val="3"/>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10">
    <w:name w:val="标准文件_条文脚注"/>
    <w:basedOn w:val="25"/>
    <w:qFormat/>
    <w:uiPriority w:val="0"/>
    <w:pPr>
      <w:adjustRightInd w:val="0"/>
      <w:spacing w:line="240" w:lineRule="auto"/>
      <w:ind w:left="0" w:leftChars="0" w:firstLine="200" w:firstLineChars="200"/>
      <w:jc w:val="both"/>
    </w:pPr>
    <w:rPr>
      <w:rFonts w:hAnsi="宋体"/>
    </w:rPr>
  </w:style>
  <w:style w:type="paragraph" w:customStyle="1" w:styleId="111">
    <w:name w:val="标准文件_图表脚注"/>
    <w:basedOn w:val="1"/>
    <w:next w:val="69"/>
    <w:qFormat/>
    <w:uiPriority w:val="0"/>
    <w:pPr>
      <w:numPr>
        <w:ilvl w:val="0"/>
        <w:numId w:val="13"/>
      </w:numPr>
      <w:spacing w:line="240" w:lineRule="auto"/>
      <w:jc w:val="left"/>
    </w:pPr>
    <w:rPr>
      <w:rFonts w:ascii="宋体" w:hAnsi="宋体"/>
      <w:sz w:val="18"/>
    </w:rPr>
  </w:style>
  <w:style w:type="paragraph" w:customStyle="1" w:styleId="112">
    <w:name w:val="标准文件_五级条标题"/>
    <w:next w:val="69"/>
    <w:qFormat/>
    <w:uiPriority w:val="0"/>
    <w:pPr>
      <w:widowControl w:val="0"/>
      <w:numPr>
        <w:ilvl w:val="6"/>
        <w:numId w:val="3"/>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3">
    <w:name w:val="标准文件_章标题"/>
    <w:next w:val="69"/>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4">
    <w:name w:val="标准文件_一级条标题"/>
    <w:basedOn w:val="113"/>
    <w:next w:val="69"/>
    <w:qFormat/>
    <w:uiPriority w:val="0"/>
    <w:pPr>
      <w:numPr>
        <w:ilvl w:val="2"/>
      </w:numPr>
      <w:spacing w:before="50" w:beforeLines="50" w:after="50" w:afterLines="50"/>
      <w:outlineLvl w:val="1"/>
    </w:pPr>
  </w:style>
  <w:style w:type="paragraph" w:customStyle="1" w:styleId="115">
    <w:name w:val="标准文件_一致程度"/>
    <w:basedOn w:val="1"/>
    <w:qFormat/>
    <w:uiPriority w:val="0"/>
    <w:pPr>
      <w:spacing w:line="440" w:lineRule="exact"/>
      <w:jc w:val="center"/>
    </w:pPr>
    <w:rPr>
      <w:sz w:val="28"/>
    </w:rPr>
  </w:style>
  <w:style w:type="paragraph" w:customStyle="1" w:styleId="116">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7">
    <w:name w:val="标准文件_英文图表脚注"/>
    <w:basedOn w:val="68"/>
    <w:qFormat/>
    <w:uiPriority w:val="0"/>
    <w:pPr>
      <w:widowControl/>
      <w:adjustRightInd/>
      <w:snapToGrid/>
      <w:spacing w:line="240" w:lineRule="auto"/>
      <w:ind w:left="79" w:hanging="79" w:hangingChars="80"/>
    </w:pPr>
    <w:rPr>
      <w:rFonts w:ascii="宋体" w:hAnsi="宋体"/>
    </w:rPr>
  </w:style>
  <w:style w:type="paragraph" w:customStyle="1" w:styleId="118">
    <w:name w:val="标准文件_数字编号列项（二级）"/>
    <w:qFormat/>
    <w:uiPriority w:val="0"/>
    <w:pPr>
      <w:numPr>
        <w:ilvl w:val="1"/>
        <w:numId w:val="14"/>
      </w:numPr>
      <w:jc w:val="both"/>
    </w:pPr>
    <w:rPr>
      <w:rFonts w:ascii="宋体" w:hAnsi="Times New Roman" w:eastAsia="宋体" w:cs="Times New Roman"/>
      <w:sz w:val="21"/>
      <w:lang w:val="en-US" w:eastAsia="zh-CN" w:bidi="ar-SA"/>
    </w:rPr>
  </w:style>
  <w:style w:type="paragraph" w:customStyle="1" w:styleId="119">
    <w:name w:val="标准文件_英文注："/>
    <w:basedOn w:val="1"/>
    <w:next w:val="69"/>
    <w:qFormat/>
    <w:uiPriority w:val="0"/>
    <w:pPr>
      <w:numPr>
        <w:ilvl w:val="0"/>
        <w:numId w:val="15"/>
      </w:numPr>
      <w:tabs>
        <w:tab w:val="left" w:pos="420"/>
      </w:tabs>
      <w:autoSpaceDE w:val="0"/>
      <w:autoSpaceDN w:val="0"/>
      <w:spacing w:line="240" w:lineRule="auto"/>
    </w:pPr>
    <w:rPr>
      <w:rFonts w:ascii="宋体" w:hAnsi="宋体"/>
      <w:kern w:val="0"/>
      <w:sz w:val="18"/>
      <w:szCs w:val="20"/>
    </w:rPr>
  </w:style>
  <w:style w:type="paragraph" w:customStyle="1" w:styleId="120">
    <w:name w:val="标准文件_英文注×："/>
    <w:basedOn w:val="1"/>
    <w:qFormat/>
    <w:uiPriority w:val="0"/>
    <w:pPr>
      <w:numPr>
        <w:ilvl w:val="0"/>
        <w:numId w:val="16"/>
      </w:numPr>
      <w:tabs>
        <w:tab w:val="left" w:pos="210"/>
      </w:tabs>
      <w:autoSpaceDE w:val="0"/>
      <w:autoSpaceDN w:val="0"/>
      <w:spacing w:line="240" w:lineRule="auto"/>
    </w:pPr>
    <w:rPr>
      <w:rFonts w:ascii="宋体" w:hAnsi="宋体"/>
      <w:kern w:val="0"/>
      <w:szCs w:val="20"/>
    </w:rPr>
  </w:style>
  <w:style w:type="paragraph" w:customStyle="1" w:styleId="121">
    <w:name w:val="标准文件_正文表标题"/>
    <w:next w:val="69"/>
    <w:qFormat/>
    <w:uiPriority w:val="0"/>
    <w:pPr>
      <w:numPr>
        <w:ilvl w:val="0"/>
        <w:numId w:val="17"/>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22">
    <w:name w:val="标准文件_正文公式"/>
    <w:basedOn w:val="1"/>
    <w:next w:val="68"/>
    <w:qFormat/>
    <w:uiPriority w:val="0"/>
    <w:pPr>
      <w:tabs>
        <w:tab w:val="center" w:pos="4678"/>
        <w:tab w:val="right" w:leader="middleDot" w:pos="9356"/>
      </w:tabs>
      <w:spacing w:line="240" w:lineRule="auto"/>
    </w:pPr>
    <w:rPr>
      <w:rFonts w:ascii="宋体" w:hAnsi="宋体"/>
    </w:rPr>
  </w:style>
  <w:style w:type="paragraph" w:customStyle="1" w:styleId="123">
    <w:name w:val="标准文件_正文图标题"/>
    <w:next w:val="69"/>
    <w:qFormat/>
    <w:uiPriority w:val="0"/>
    <w:pPr>
      <w:numPr>
        <w:ilvl w:val="0"/>
        <w:numId w:val="18"/>
      </w:numPr>
      <w:spacing w:before="50" w:beforeLines="50" w:after="50" w:afterLines="50"/>
      <w:jc w:val="center"/>
    </w:pPr>
    <w:rPr>
      <w:rFonts w:ascii="黑体" w:hAnsi="Times New Roman" w:eastAsia="黑体" w:cs="Times New Roman"/>
      <w:sz w:val="21"/>
      <w:lang w:val="en-US" w:eastAsia="zh-CN" w:bidi="ar-SA"/>
    </w:rPr>
  </w:style>
  <w:style w:type="paragraph" w:customStyle="1" w:styleId="124">
    <w:name w:val="标准文件_正文英文表标题"/>
    <w:next w:val="6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5">
    <w:name w:val="标准文件_正文英文图标题"/>
    <w:next w:val="69"/>
    <w:qFormat/>
    <w:uiPriority w:val="0"/>
    <w:pPr>
      <w:numPr>
        <w:ilvl w:val="0"/>
        <w:numId w:val="20"/>
      </w:numPr>
      <w:jc w:val="center"/>
    </w:pPr>
    <w:rPr>
      <w:rFonts w:ascii="黑体" w:hAnsi="Times New Roman" w:eastAsia="黑体" w:cs="Times New Roman"/>
      <w:sz w:val="21"/>
      <w:lang w:val="en-US" w:eastAsia="zh-CN" w:bidi="ar-SA"/>
    </w:rPr>
  </w:style>
  <w:style w:type="paragraph" w:customStyle="1" w:styleId="126">
    <w:name w:val="标准文件_编号列项（三级）"/>
    <w:qFormat/>
    <w:uiPriority w:val="0"/>
    <w:pPr>
      <w:numPr>
        <w:ilvl w:val="2"/>
        <w:numId w:val="14"/>
      </w:numPr>
    </w:pPr>
    <w:rPr>
      <w:rFonts w:ascii="宋体" w:hAnsi="Times New Roman" w:eastAsia="宋体" w:cs="Times New Roman"/>
      <w:sz w:val="21"/>
      <w:lang w:val="en-US" w:eastAsia="zh-CN" w:bidi="ar-SA"/>
    </w:rPr>
  </w:style>
  <w:style w:type="paragraph" w:customStyle="1" w:styleId="127">
    <w:name w:val="二级无标题条"/>
    <w:basedOn w:val="1"/>
    <w:qFormat/>
    <w:uiPriority w:val="0"/>
    <w:pPr>
      <w:numPr>
        <w:ilvl w:val="3"/>
        <w:numId w:val="21"/>
      </w:numPr>
      <w:adjustRightInd/>
      <w:spacing w:line="240" w:lineRule="auto"/>
    </w:pPr>
    <w:rPr>
      <w:rFonts w:ascii="宋体" w:hAnsi="宋体"/>
      <w:szCs w:val="24"/>
    </w:rPr>
  </w:style>
  <w:style w:type="paragraph" w:customStyle="1" w:styleId="128">
    <w:name w:val="发布部门"/>
    <w:next w:val="6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0">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4">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5">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6">
    <w:name w:val="封面正文"/>
    <w:qFormat/>
    <w:uiPriority w:val="0"/>
    <w:pPr>
      <w:jc w:val="both"/>
    </w:pPr>
    <w:rPr>
      <w:rFonts w:ascii="Times New Roman" w:hAnsi="Times New Roman" w:eastAsia="宋体" w:cs="Times New Roman"/>
      <w:lang w:val="en-US" w:eastAsia="zh-CN" w:bidi="ar-SA"/>
    </w:rPr>
  </w:style>
  <w:style w:type="paragraph" w:customStyle="1" w:styleId="137">
    <w:name w:val="附录二级无标题条"/>
    <w:basedOn w:val="1"/>
    <w:next w:val="6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8">
    <w:name w:val="附录三级无标题条"/>
    <w:basedOn w:val="137"/>
    <w:next w:val="69"/>
    <w:qFormat/>
    <w:uiPriority w:val="0"/>
    <w:pPr>
      <w:outlineLvl w:val="4"/>
    </w:pPr>
  </w:style>
  <w:style w:type="paragraph" w:customStyle="1" w:styleId="139">
    <w:name w:val="附录四级无标题条"/>
    <w:basedOn w:val="138"/>
    <w:next w:val="69"/>
    <w:qFormat/>
    <w:uiPriority w:val="0"/>
    <w:pPr>
      <w:outlineLvl w:val="5"/>
    </w:pPr>
  </w:style>
  <w:style w:type="paragraph" w:customStyle="1" w:styleId="140">
    <w:name w:val="附录图"/>
    <w:next w:val="6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1">
    <w:name w:val="标准文件_一级项"/>
    <w:qFormat/>
    <w:uiPriority w:val="0"/>
    <w:pPr>
      <w:numPr>
        <w:ilvl w:val="0"/>
        <w:numId w:val="22"/>
      </w:numPr>
    </w:pPr>
    <w:rPr>
      <w:rFonts w:ascii="宋体" w:hAnsi="Times New Roman" w:eastAsia="宋体" w:cs="Times New Roman"/>
      <w:sz w:val="21"/>
      <w:lang w:val="en-US" w:eastAsia="zh-CN" w:bidi="ar-SA"/>
    </w:rPr>
  </w:style>
  <w:style w:type="paragraph" w:customStyle="1" w:styleId="142">
    <w:name w:val="附录五级无标题条"/>
    <w:basedOn w:val="139"/>
    <w:next w:val="69"/>
    <w:qFormat/>
    <w:uiPriority w:val="0"/>
    <w:pPr>
      <w:outlineLvl w:val="6"/>
    </w:pPr>
  </w:style>
  <w:style w:type="paragraph" w:customStyle="1" w:styleId="143">
    <w:name w:val="附录性质"/>
    <w:basedOn w:val="1"/>
    <w:qFormat/>
    <w:uiPriority w:val="0"/>
    <w:pPr>
      <w:widowControl/>
      <w:adjustRightInd/>
      <w:jc w:val="center"/>
    </w:pPr>
    <w:rPr>
      <w:rFonts w:ascii="黑体" w:eastAsia="黑体"/>
    </w:rPr>
  </w:style>
  <w:style w:type="paragraph" w:customStyle="1" w:styleId="144">
    <w:name w:val="附录一级无标题条"/>
    <w:basedOn w:val="99"/>
    <w:next w:val="69"/>
    <w:qFormat/>
    <w:uiPriority w:val="0"/>
    <w:pPr>
      <w:autoSpaceDN w:val="0"/>
      <w:outlineLvl w:val="2"/>
    </w:pPr>
    <w:rPr>
      <w:rFonts w:ascii="宋体" w:hAnsi="宋体" w:eastAsia="宋体"/>
    </w:rPr>
  </w:style>
  <w:style w:type="paragraph" w:customStyle="1" w:styleId="145">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6">
    <w:name w:val="列项——"/>
    <w:qFormat/>
    <w:uiPriority w:val="0"/>
    <w:pPr>
      <w:widowControl w:val="0"/>
      <w:numPr>
        <w:ilvl w:val="0"/>
        <w:numId w:val="23"/>
      </w:numPr>
      <w:jc w:val="both"/>
    </w:pPr>
    <w:rPr>
      <w:rFonts w:ascii="宋体" w:hAnsi="宋体" w:eastAsia="宋体" w:cs="Times New Roman"/>
      <w:sz w:val="21"/>
      <w:lang w:val="en-US" w:eastAsia="zh-CN" w:bidi="ar-SA"/>
    </w:rPr>
  </w:style>
  <w:style w:type="paragraph" w:customStyle="1" w:styleId="147">
    <w:name w:val="列项·"/>
    <w:basedOn w:val="69"/>
    <w:qFormat/>
    <w:uiPriority w:val="0"/>
    <w:pPr>
      <w:tabs>
        <w:tab w:val="left" w:pos="840"/>
      </w:tabs>
    </w:pPr>
  </w:style>
  <w:style w:type="paragraph" w:customStyle="1" w:styleId="14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9">
    <w:name w:val="目录 21"/>
    <w:basedOn w:val="1"/>
    <w:next w:val="1"/>
    <w:semiHidden/>
    <w:qFormat/>
    <w:uiPriority w:val="0"/>
    <w:pPr>
      <w:adjustRightInd/>
      <w:spacing w:line="240" w:lineRule="auto"/>
      <w:jc w:val="left"/>
    </w:pPr>
    <w:rPr>
      <w:bCs/>
      <w:iCs/>
    </w:rPr>
  </w:style>
  <w:style w:type="paragraph" w:customStyle="1" w:styleId="150">
    <w:name w:val="目录 31"/>
    <w:basedOn w:val="1"/>
    <w:next w:val="1"/>
    <w:semiHidden/>
    <w:qFormat/>
    <w:uiPriority w:val="0"/>
    <w:pPr>
      <w:spacing w:line="240" w:lineRule="auto"/>
    </w:pPr>
    <w:rPr>
      <w:rFonts w:ascii="宋体" w:hAnsi="宋体"/>
      <w:iCs/>
    </w:rPr>
  </w:style>
  <w:style w:type="paragraph" w:customStyle="1" w:styleId="151">
    <w:name w:val="目录 41"/>
    <w:basedOn w:val="1"/>
    <w:next w:val="1"/>
    <w:semiHidden/>
    <w:qFormat/>
    <w:uiPriority w:val="0"/>
    <w:pPr>
      <w:adjustRightInd/>
      <w:spacing w:line="240" w:lineRule="auto"/>
      <w:jc w:val="left"/>
    </w:pPr>
  </w:style>
  <w:style w:type="paragraph" w:customStyle="1" w:styleId="152">
    <w:name w:val="目录 51"/>
    <w:basedOn w:val="1"/>
    <w:next w:val="1"/>
    <w:semiHidden/>
    <w:qFormat/>
    <w:uiPriority w:val="0"/>
    <w:pPr>
      <w:spacing w:line="240" w:lineRule="auto"/>
    </w:pPr>
    <w:rPr>
      <w:rFonts w:ascii="宋体" w:hAnsi="宋体"/>
    </w:rPr>
  </w:style>
  <w:style w:type="paragraph" w:customStyle="1" w:styleId="153">
    <w:name w:val="目录 61"/>
    <w:basedOn w:val="1"/>
    <w:next w:val="1"/>
    <w:semiHidden/>
    <w:qFormat/>
    <w:uiPriority w:val="0"/>
    <w:pPr>
      <w:adjustRightInd/>
      <w:spacing w:line="240" w:lineRule="auto"/>
      <w:jc w:val="left"/>
    </w:pPr>
  </w:style>
  <w:style w:type="paragraph" w:customStyle="1" w:styleId="154">
    <w:name w:val="目录 71"/>
    <w:basedOn w:val="153"/>
    <w:semiHidden/>
    <w:qFormat/>
    <w:uiPriority w:val="0"/>
    <w:pPr>
      <w:ind w:left="1260"/>
    </w:pPr>
  </w:style>
  <w:style w:type="paragraph" w:customStyle="1" w:styleId="155">
    <w:name w:val="目录 81"/>
    <w:basedOn w:val="154"/>
    <w:semiHidden/>
    <w:qFormat/>
    <w:uiPriority w:val="0"/>
    <w:pPr>
      <w:ind w:left="1470"/>
    </w:pPr>
  </w:style>
  <w:style w:type="paragraph" w:customStyle="1" w:styleId="156">
    <w:name w:val="目录 91"/>
    <w:basedOn w:val="155"/>
    <w:semiHidden/>
    <w:qFormat/>
    <w:uiPriority w:val="0"/>
    <w:pPr>
      <w:ind w:left="1680"/>
    </w:pPr>
  </w:style>
  <w:style w:type="paragraph" w:customStyle="1" w:styleId="15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8">
    <w:name w:val="其他发布部门"/>
    <w:basedOn w:val="128"/>
    <w:qFormat/>
    <w:uiPriority w:val="0"/>
    <w:pPr>
      <w:spacing w:line="0" w:lineRule="atLeast"/>
    </w:pPr>
    <w:rPr>
      <w:rFonts w:ascii="黑体" w:eastAsia="黑体"/>
      <w:b w:val="0"/>
    </w:rPr>
  </w:style>
  <w:style w:type="paragraph" w:customStyle="1" w:styleId="159">
    <w:name w:val="前言标题"/>
    <w:next w:val="1"/>
    <w:qFormat/>
    <w:uiPriority w:val="0"/>
    <w:pPr>
      <w:numPr>
        <w:ilvl w:val="0"/>
        <w:numId w:val="3"/>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0">
    <w:name w:val="三级无标题条"/>
    <w:basedOn w:val="1"/>
    <w:qFormat/>
    <w:uiPriority w:val="0"/>
    <w:pPr>
      <w:numPr>
        <w:ilvl w:val="4"/>
        <w:numId w:val="21"/>
      </w:numPr>
      <w:adjustRightInd/>
      <w:spacing w:line="240" w:lineRule="auto"/>
    </w:pPr>
    <w:rPr>
      <w:rFonts w:ascii="宋体" w:hAnsi="宋体"/>
      <w:szCs w:val="24"/>
    </w:rPr>
  </w:style>
  <w:style w:type="paragraph" w:customStyle="1" w:styleId="161">
    <w:name w:val="实施日期"/>
    <w:basedOn w:val="129"/>
    <w:qFormat/>
    <w:uiPriority w:val="0"/>
    <w:pPr>
      <w:framePr w:hSpace="0" w:xAlign="right"/>
      <w:jc w:val="right"/>
    </w:pPr>
  </w:style>
  <w:style w:type="paragraph" w:customStyle="1" w:styleId="162">
    <w:name w:val="四级无标题条"/>
    <w:basedOn w:val="1"/>
    <w:qFormat/>
    <w:uiPriority w:val="0"/>
    <w:pPr>
      <w:numPr>
        <w:ilvl w:val="5"/>
        <w:numId w:val="21"/>
      </w:numPr>
      <w:adjustRightInd/>
      <w:spacing w:line="240" w:lineRule="auto"/>
    </w:pPr>
    <w:rPr>
      <w:rFonts w:ascii="宋体" w:hAnsi="宋体"/>
      <w:szCs w:val="24"/>
    </w:rPr>
  </w:style>
  <w:style w:type="paragraph" w:customStyle="1" w:styleId="163">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4">
    <w:name w:val="无标题条"/>
    <w:next w:val="69"/>
    <w:qFormat/>
    <w:uiPriority w:val="0"/>
    <w:pPr>
      <w:jc w:val="both"/>
    </w:pPr>
    <w:rPr>
      <w:rFonts w:ascii="宋体" w:hAnsi="宋体" w:eastAsia="宋体" w:cs="Times New Roman"/>
      <w:sz w:val="21"/>
      <w:lang w:val="en-US" w:eastAsia="zh-CN" w:bidi="ar-SA"/>
    </w:rPr>
  </w:style>
  <w:style w:type="paragraph" w:customStyle="1" w:styleId="165">
    <w:name w:val="五级无标题条"/>
    <w:basedOn w:val="1"/>
    <w:qFormat/>
    <w:uiPriority w:val="0"/>
    <w:pPr>
      <w:numPr>
        <w:ilvl w:val="6"/>
        <w:numId w:val="21"/>
      </w:numPr>
      <w:adjustRightInd/>
    </w:pPr>
    <w:rPr>
      <w:szCs w:val="24"/>
    </w:rPr>
  </w:style>
  <w:style w:type="paragraph" w:customStyle="1" w:styleId="166">
    <w:name w:val="一级无标题条"/>
    <w:basedOn w:val="1"/>
    <w:qFormat/>
    <w:uiPriority w:val="0"/>
    <w:pPr>
      <w:numPr>
        <w:ilvl w:val="2"/>
        <w:numId w:val="21"/>
      </w:numPr>
      <w:adjustRightInd/>
      <w:spacing w:before="10" w:after="10" w:line="240" w:lineRule="auto"/>
    </w:pPr>
    <w:rPr>
      <w:rFonts w:ascii="宋体" w:hAnsi="宋体"/>
      <w:szCs w:val="24"/>
    </w:rPr>
  </w:style>
  <w:style w:type="paragraph" w:customStyle="1" w:styleId="167">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8">
    <w:name w:val="注×:后续"/>
    <w:basedOn w:val="167"/>
    <w:qFormat/>
    <w:uiPriority w:val="0"/>
    <w:pPr>
      <w:ind w:left="1406" w:leftChars="0" w:hanging="499" w:firstLineChars="0"/>
    </w:pPr>
  </w:style>
  <w:style w:type="paragraph" w:customStyle="1" w:styleId="169">
    <w:name w:val="标准文件_一级无标题"/>
    <w:basedOn w:val="114"/>
    <w:qFormat/>
    <w:uiPriority w:val="0"/>
    <w:pPr>
      <w:spacing w:before="0" w:beforeLines="0" w:after="0" w:afterLines="0"/>
      <w:outlineLvl w:val="9"/>
    </w:pPr>
    <w:rPr>
      <w:rFonts w:ascii="宋体" w:eastAsia="宋体"/>
    </w:rPr>
  </w:style>
  <w:style w:type="paragraph" w:customStyle="1" w:styleId="170">
    <w:name w:val="标准文件_五级无标题"/>
    <w:basedOn w:val="112"/>
    <w:qFormat/>
    <w:uiPriority w:val="0"/>
    <w:pPr>
      <w:spacing w:before="0" w:beforeLines="0" w:after="0" w:afterLines="0"/>
      <w:outlineLvl w:val="9"/>
    </w:pPr>
    <w:rPr>
      <w:rFonts w:ascii="宋体" w:eastAsia="宋体"/>
    </w:rPr>
  </w:style>
  <w:style w:type="paragraph" w:customStyle="1" w:styleId="171">
    <w:name w:val="标准文件_三级无标题"/>
    <w:basedOn w:val="106"/>
    <w:qFormat/>
    <w:uiPriority w:val="0"/>
    <w:pPr>
      <w:spacing w:before="0" w:beforeLines="0" w:after="0" w:afterLines="0"/>
      <w:outlineLvl w:val="9"/>
    </w:pPr>
    <w:rPr>
      <w:rFonts w:ascii="宋体" w:eastAsia="宋体"/>
    </w:rPr>
  </w:style>
  <w:style w:type="paragraph" w:customStyle="1" w:styleId="172">
    <w:name w:val="标准文件_二级无标题"/>
    <w:basedOn w:val="79"/>
    <w:qFormat/>
    <w:uiPriority w:val="0"/>
    <w:pPr>
      <w:spacing w:before="0" w:beforeLines="0" w:after="0" w:afterLines="0"/>
      <w:outlineLvl w:val="9"/>
    </w:pPr>
    <w:rPr>
      <w:rFonts w:ascii="宋体" w:eastAsia="宋体"/>
    </w:rPr>
  </w:style>
  <w:style w:type="paragraph" w:customStyle="1" w:styleId="173">
    <w:name w:val="标准_四级无标题"/>
    <w:basedOn w:val="109"/>
    <w:next w:val="69"/>
    <w:qFormat/>
    <w:uiPriority w:val="0"/>
    <w:rPr>
      <w:rFonts w:eastAsia="宋体"/>
    </w:rPr>
  </w:style>
  <w:style w:type="paragraph" w:customStyle="1" w:styleId="174">
    <w:name w:val="标准文件_四级无标题"/>
    <w:basedOn w:val="109"/>
    <w:qFormat/>
    <w:uiPriority w:val="0"/>
    <w:pPr>
      <w:spacing w:before="0" w:beforeLines="0" w:after="0" w:afterLines="0"/>
      <w:outlineLvl w:val="9"/>
    </w:pPr>
    <w:rPr>
      <w:rFonts w:ascii="宋体" w:hAnsi="黑体" w:eastAsia="宋体"/>
      <w:szCs w:val="52"/>
    </w:rPr>
  </w:style>
  <w:style w:type="paragraph" w:customStyle="1" w:styleId="175">
    <w:name w:val="标准文件_大写罗马数字编号列项"/>
    <w:basedOn w:val="69"/>
    <w:qFormat/>
    <w:uiPriority w:val="0"/>
    <w:pPr>
      <w:numPr>
        <w:ilvl w:val="0"/>
        <w:numId w:val="24"/>
      </w:numPr>
      <w:ind w:firstLine="0" w:firstLineChars="0"/>
    </w:pPr>
    <w:rPr>
      <w:rFonts w:ascii="Times New Roman" w:cs="Arial"/>
      <w:szCs w:val="28"/>
    </w:rPr>
  </w:style>
  <w:style w:type="paragraph" w:customStyle="1" w:styleId="176">
    <w:name w:val="标准文件_小写罗马数字编号列项"/>
    <w:basedOn w:val="69"/>
    <w:qFormat/>
    <w:uiPriority w:val="0"/>
    <w:pPr>
      <w:numPr>
        <w:ilvl w:val="0"/>
        <w:numId w:val="25"/>
      </w:numPr>
      <w:ind w:firstLine="0" w:firstLineChars="0"/>
    </w:pPr>
    <w:rPr>
      <w:rFonts w:cs="Arial"/>
      <w:szCs w:val="28"/>
    </w:rPr>
  </w:style>
  <w:style w:type="paragraph" w:customStyle="1" w:styleId="177">
    <w:name w:val="标准文件_附录标题"/>
    <w:basedOn w:val="89"/>
    <w:qFormat/>
    <w:uiPriority w:val="0"/>
    <w:pPr>
      <w:numPr>
        <w:ilvl w:val="0"/>
        <w:numId w:val="0"/>
      </w:numPr>
      <w:spacing w:after="280"/>
      <w:outlineLvl w:val="9"/>
    </w:pPr>
  </w:style>
  <w:style w:type="paragraph" w:customStyle="1" w:styleId="178">
    <w:name w:val="标准文件_二级项"/>
    <w:qFormat/>
    <w:uiPriority w:val="0"/>
    <w:rPr>
      <w:rFonts w:ascii="宋体" w:hAnsi="Times New Roman" w:eastAsia="宋体" w:cs="Times New Roman"/>
      <w:sz w:val="21"/>
      <w:lang w:val="en-US" w:eastAsia="zh-CN" w:bidi="ar-SA"/>
    </w:rPr>
  </w:style>
  <w:style w:type="paragraph" w:customStyle="1" w:styleId="179">
    <w:name w:val="标准文件_三级项"/>
    <w:basedOn w:val="1"/>
    <w:qFormat/>
    <w:uiPriority w:val="0"/>
    <w:pPr>
      <w:numPr>
        <w:ilvl w:val="2"/>
        <w:numId w:val="22"/>
      </w:numPr>
      <w:spacing w:line="300" w:lineRule="exact"/>
    </w:pPr>
    <w:rPr>
      <w:rFonts w:ascii="Times New Roman" w:hAnsi="Times New Roman"/>
    </w:rPr>
  </w:style>
  <w:style w:type="paragraph" w:customStyle="1" w:styleId="180">
    <w:name w:val="图表脚注说明"/>
    <w:basedOn w:val="1"/>
    <w:next w:val="69"/>
    <w:qFormat/>
    <w:uiPriority w:val="0"/>
    <w:pPr>
      <w:numPr>
        <w:ilvl w:val="0"/>
        <w:numId w:val="26"/>
      </w:numPr>
      <w:adjustRightInd/>
      <w:spacing w:line="240" w:lineRule="auto"/>
      <w:ind w:left="783"/>
    </w:pPr>
    <w:rPr>
      <w:rFonts w:ascii="宋体" w:hAnsi="Times New Roman"/>
      <w:sz w:val="18"/>
      <w:szCs w:val="18"/>
    </w:rPr>
  </w:style>
  <w:style w:type="paragraph" w:customStyle="1" w:styleId="181">
    <w:name w:val="标准文件_字母编号列项（一级）"/>
    <w:qFormat/>
    <w:uiPriority w:val="0"/>
    <w:pPr>
      <w:tabs>
        <w:tab w:val="left" w:pos="851"/>
      </w:tabs>
      <w:ind w:left="851" w:hanging="426"/>
      <w:jc w:val="both"/>
    </w:pPr>
    <w:rPr>
      <w:rFonts w:ascii="宋体" w:hAnsi="Times New Roman" w:eastAsia="宋体" w:cs="Times New Roman"/>
      <w:sz w:val="21"/>
      <w:lang w:val="en-US" w:eastAsia="zh-CN" w:bidi="ar-SA"/>
    </w:rPr>
  </w:style>
  <w:style w:type="paragraph" w:customStyle="1" w:styleId="182">
    <w:name w:val="标准文件_索引字母"/>
    <w:next w:val="69"/>
    <w:qFormat/>
    <w:uiPriority w:val="0"/>
    <w:pPr>
      <w:jc w:val="center"/>
    </w:pPr>
    <w:rPr>
      <w:rFonts w:ascii="宋体" w:hAnsi="宋体" w:eastAsia="Times New Roman" w:cs="Times New Roman"/>
      <w:b/>
      <w:kern w:val="2"/>
      <w:sz w:val="21"/>
      <w:lang w:val="en-US" w:eastAsia="zh-CN" w:bidi="ar-SA"/>
    </w:rPr>
  </w:style>
  <w:style w:type="paragraph" w:customStyle="1" w:styleId="183">
    <w:name w:val="标准文件_附录前"/>
    <w:next w:val="6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4">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5">
    <w:name w:val="标准文件_表格"/>
    <w:basedOn w:val="69"/>
    <w:qFormat/>
    <w:uiPriority w:val="0"/>
    <w:pPr>
      <w:ind w:firstLine="0" w:firstLineChars="0"/>
      <w:jc w:val="center"/>
    </w:pPr>
    <w:rPr>
      <w:sz w:val="18"/>
    </w:rPr>
  </w:style>
  <w:style w:type="paragraph" w:customStyle="1" w:styleId="186">
    <w:name w:val="标准文件_注："/>
    <w:next w:val="69"/>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注×："/>
    <w:qFormat/>
    <w:uiPriority w:val="0"/>
    <w:pPr>
      <w:widowControl w:val="0"/>
      <w:numPr>
        <w:ilvl w:val="0"/>
        <w:numId w:val="28"/>
      </w:numPr>
      <w:autoSpaceDE w:val="0"/>
      <w:autoSpaceDN w:val="0"/>
      <w:jc w:val="both"/>
    </w:pPr>
    <w:rPr>
      <w:rFonts w:ascii="宋体" w:hAnsi="Times New Roman" w:eastAsia="宋体" w:cs="Times New Roman"/>
      <w:sz w:val="18"/>
      <w:szCs w:val="18"/>
      <w:lang w:val="en-US" w:eastAsia="zh-CN" w:bidi="ar-SA"/>
    </w:rPr>
  </w:style>
  <w:style w:type="paragraph" w:customStyle="1" w:styleId="188">
    <w:name w:val="标准文件_示例："/>
    <w:next w:val="189"/>
    <w:qFormat/>
    <w:uiPriority w:val="0"/>
    <w:pPr>
      <w:widowControl w:val="0"/>
      <w:numPr>
        <w:ilvl w:val="0"/>
        <w:numId w:val="29"/>
      </w:numPr>
      <w:jc w:val="both"/>
    </w:pPr>
    <w:rPr>
      <w:rFonts w:ascii="宋体" w:hAnsi="Times New Roman" w:eastAsia="宋体" w:cs="Times New Roman"/>
      <w:sz w:val="18"/>
      <w:szCs w:val="18"/>
      <w:lang w:val="en-US" w:eastAsia="zh-CN" w:bidi="ar-SA"/>
    </w:rPr>
  </w:style>
  <w:style w:type="paragraph" w:customStyle="1" w:styleId="189">
    <w:name w:val="标准文件_示例内容"/>
    <w:basedOn w:val="69"/>
    <w:qFormat/>
    <w:uiPriority w:val="0"/>
    <w:pPr>
      <w:ind w:firstLine="420"/>
    </w:pPr>
    <w:rPr>
      <w:sz w:val="18"/>
    </w:rPr>
  </w:style>
  <w:style w:type="paragraph" w:customStyle="1" w:styleId="190">
    <w:name w:val="标准文件_示例×："/>
    <w:basedOn w:val="1"/>
    <w:next w:val="189"/>
    <w:qFormat/>
    <w:uiPriority w:val="0"/>
    <w:pPr>
      <w:widowControl/>
      <w:numPr>
        <w:ilvl w:val="0"/>
        <w:numId w:val="30"/>
      </w:numPr>
      <w:adjustRightInd/>
      <w:spacing w:line="240" w:lineRule="auto"/>
    </w:pPr>
    <w:rPr>
      <w:rFonts w:ascii="宋体" w:hAnsi="Times New Roman"/>
      <w:kern w:val="0"/>
      <w:sz w:val="18"/>
      <w:szCs w:val="18"/>
    </w:rPr>
  </w:style>
  <w:style w:type="paragraph" w:customStyle="1" w:styleId="191">
    <w:name w:val="标准文件_表格续"/>
    <w:basedOn w:val="69"/>
    <w:next w:val="69"/>
    <w:qFormat/>
    <w:uiPriority w:val="0"/>
    <w:pPr>
      <w:jc w:val="center"/>
    </w:pPr>
    <w:rPr>
      <w:rFonts w:ascii="黑体" w:hAnsi="黑体" w:eastAsia="黑体"/>
    </w:rPr>
  </w:style>
  <w:style w:type="paragraph" w:customStyle="1" w:styleId="192">
    <w:name w:val="标准文件_二级项2"/>
    <w:basedOn w:val="69"/>
    <w:qFormat/>
    <w:uiPriority w:val="0"/>
    <w:pPr>
      <w:numPr>
        <w:ilvl w:val="1"/>
        <w:numId w:val="22"/>
      </w:numPr>
      <w:ind w:left="1271" w:hanging="420" w:firstLineChars="0"/>
    </w:pPr>
  </w:style>
  <w:style w:type="paragraph" w:customStyle="1" w:styleId="193">
    <w:name w:val="标准文件_三级项2"/>
    <w:basedOn w:val="69"/>
    <w:qFormat/>
    <w:uiPriority w:val="0"/>
    <w:pPr>
      <w:numPr>
        <w:ilvl w:val="0"/>
        <w:numId w:val="31"/>
      </w:numPr>
      <w:spacing w:line="300" w:lineRule="exact"/>
      <w:ind w:left="1276" w:hanging="425" w:firstLineChars="0"/>
    </w:pPr>
    <w:rPr>
      <w:rFonts w:ascii="Times New Roman"/>
    </w:rPr>
  </w:style>
  <w:style w:type="paragraph" w:customStyle="1" w:styleId="194">
    <w:name w:val="标准文件_一级项2"/>
    <w:basedOn w:val="69"/>
    <w:qFormat/>
    <w:uiPriority w:val="0"/>
    <w:pPr>
      <w:numPr>
        <w:ilvl w:val="0"/>
        <w:numId w:val="32"/>
      </w:numPr>
      <w:spacing w:line="300" w:lineRule="exact"/>
      <w:ind w:left="1271" w:hanging="420" w:firstLineChars="0"/>
    </w:pPr>
    <w:rPr>
      <w:rFonts w:ascii="Times New Roman"/>
    </w:rPr>
  </w:style>
  <w:style w:type="paragraph" w:customStyle="1" w:styleId="195">
    <w:name w:val="标准文件_提示"/>
    <w:basedOn w:val="69"/>
    <w:next w:val="69"/>
    <w:qFormat/>
    <w:uiPriority w:val="0"/>
    <w:pPr>
      <w:ind w:firstLine="420"/>
    </w:pPr>
    <w:rPr>
      <w:rFonts w:ascii="黑体" w:eastAsia="黑体"/>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9"/>
    <w:qFormat/>
    <w:uiPriority w:val="0"/>
    <w:pPr>
      <w:framePr w:w="3997" w:h="471" w:hRule="exact" w:hSpace="0" w:vSpace="181" w:vAnchor="page" w:hAnchor="page" w:x="1419" w:y="14097"/>
    </w:pPr>
  </w:style>
  <w:style w:type="paragraph" w:customStyle="1" w:styleId="198">
    <w:name w:val="其他实施日期"/>
    <w:basedOn w:val="161"/>
    <w:qFormat/>
    <w:uiPriority w:val="0"/>
    <w:pPr>
      <w:framePr w:w="3997" w:h="471" w:hRule="exact" w:vSpace="181" w:vAnchor="page" w:hAnchor="page" w:x="7089" w:y="14097"/>
    </w:pPr>
  </w:style>
  <w:style w:type="paragraph" w:customStyle="1" w:styleId="199">
    <w:name w:val="标准文件_文件编号"/>
    <w:basedOn w:val="69"/>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9"/>
    <w:next w:val="69"/>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9"/>
    <w:next w:val="69"/>
    <w:qFormat/>
    <w:uiPriority w:val="0"/>
    <w:pPr>
      <w:numPr>
        <w:ilvl w:val="0"/>
        <w:numId w:val="7"/>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9"/>
    <w:next w:val="69"/>
    <w:qFormat/>
    <w:uiPriority w:val="0"/>
    <w:pPr>
      <w:numPr>
        <w:ilvl w:val="0"/>
        <w:numId w:val="6"/>
      </w:numPr>
      <w:spacing w:line="14" w:lineRule="exact"/>
      <w:ind w:firstLine="0" w:firstLineChars="0"/>
      <w:jc w:val="center"/>
    </w:pPr>
    <w:rPr>
      <w:rFonts w:eastAsia="黑体"/>
      <w:vanish/>
      <w:sz w:val="2"/>
    </w:rPr>
  </w:style>
  <w:style w:type="paragraph" w:customStyle="1" w:styleId="204">
    <w:name w:val="标准文件_引言一级条标题"/>
    <w:basedOn w:val="69"/>
    <w:next w:val="69"/>
    <w:qFormat/>
    <w:uiPriority w:val="0"/>
    <w:pPr>
      <w:numPr>
        <w:ilvl w:val="1"/>
        <w:numId w:val="9"/>
      </w:numPr>
      <w:spacing w:before="50" w:beforeLines="50" w:after="50" w:afterLines="50"/>
      <w:ind w:firstLineChars="0"/>
    </w:pPr>
    <w:rPr>
      <w:rFonts w:ascii="黑体" w:eastAsia="黑体"/>
    </w:rPr>
  </w:style>
  <w:style w:type="paragraph" w:customStyle="1" w:styleId="205">
    <w:name w:val="标准文件_引言二级条标题"/>
    <w:basedOn w:val="69"/>
    <w:next w:val="69"/>
    <w:qFormat/>
    <w:uiPriority w:val="0"/>
    <w:pPr>
      <w:numPr>
        <w:ilvl w:val="2"/>
        <w:numId w:val="9"/>
      </w:numPr>
      <w:spacing w:before="50" w:beforeLines="50" w:after="50" w:afterLines="50"/>
      <w:ind w:firstLineChars="0"/>
    </w:pPr>
    <w:rPr>
      <w:rFonts w:ascii="黑体" w:eastAsia="黑体"/>
    </w:rPr>
  </w:style>
  <w:style w:type="paragraph" w:customStyle="1" w:styleId="206">
    <w:name w:val="标准文件_引言三级条标题"/>
    <w:basedOn w:val="69"/>
    <w:next w:val="69"/>
    <w:qFormat/>
    <w:uiPriority w:val="0"/>
    <w:pPr>
      <w:numPr>
        <w:ilvl w:val="3"/>
        <w:numId w:val="9"/>
      </w:numPr>
      <w:spacing w:before="50" w:beforeLines="50" w:after="50" w:afterLines="50"/>
      <w:ind w:firstLineChars="0"/>
    </w:pPr>
    <w:rPr>
      <w:rFonts w:ascii="黑体" w:eastAsia="黑体"/>
    </w:rPr>
  </w:style>
  <w:style w:type="paragraph" w:customStyle="1" w:styleId="207">
    <w:name w:val="标准文件_引言四级条标题"/>
    <w:basedOn w:val="69"/>
    <w:next w:val="69"/>
    <w:qFormat/>
    <w:uiPriority w:val="0"/>
    <w:pPr>
      <w:numPr>
        <w:ilvl w:val="4"/>
        <w:numId w:val="9"/>
      </w:numPr>
      <w:spacing w:before="50" w:beforeLines="50" w:after="50" w:afterLines="50"/>
      <w:ind w:firstLineChars="0"/>
    </w:pPr>
    <w:rPr>
      <w:rFonts w:ascii="黑体" w:eastAsia="黑体"/>
    </w:rPr>
  </w:style>
  <w:style w:type="paragraph" w:customStyle="1" w:styleId="208">
    <w:name w:val="标准文件_引言五级条标题"/>
    <w:basedOn w:val="69"/>
    <w:next w:val="69"/>
    <w:qFormat/>
    <w:uiPriority w:val="0"/>
    <w:pPr>
      <w:numPr>
        <w:ilvl w:val="5"/>
        <w:numId w:val="9"/>
      </w:numPr>
      <w:spacing w:before="50" w:beforeLines="50" w:after="50" w:afterLines="50"/>
      <w:ind w:firstLineChars="0"/>
    </w:pPr>
    <w:rPr>
      <w:rFonts w:ascii="黑体" w:eastAsia="黑体"/>
    </w:rPr>
  </w:style>
  <w:style w:type="paragraph" w:customStyle="1" w:styleId="209">
    <w:name w:val="标准文件_注后"/>
    <w:basedOn w:val="69"/>
    <w:qFormat/>
    <w:uiPriority w:val="0"/>
    <w:pPr>
      <w:ind w:left="811" w:firstLine="0" w:firstLineChars="0"/>
    </w:pPr>
    <w:rPr>
      <w:sz w:val="18"/>
    </w:rPr>
  </w:style>
  <w:style w:type="paragraph" w:customStyle="1" w:styleId="210">
    <w:name w:val="标准文件_注X后"/>
    <w:basedOn w:val="69"/>
    <w:qFormat/>
    <w:uiPriority w:val="0"/>
    <w:pPr>
      <w:ind w:left="811" w:firstLine="0" w:firstLineChars="0"/>
    </w:pPr>
    <w:rPr>
      <w:sz w:val="18"/>
    </w:rPr>
  </w:style>
  <w:style w:type="paragraph" w:customStyle="1" w:styleId="211">
    <w:name w:val="标准文件_示例后"/>
    <w:basedOn w:val="69"/>
    <w:qFormat/>
    <w:uiPriority w:val="0"/>
    <w:pPr>
      <w:ind w:left="964" w:firstLine="0" w:firstLineChars="0"/>
    </w:pPr>
    <w:rPr>
      <w:sz w:val="18"/>
    </w:rPr>
  </w:style>
  <w:style w:type="paragraph" w:customStyle="1" w:styleId="212">
    <w:name w:val="标准文件_示例X后"/>
    <w:basedOn w:val="69"/>
    <w:link w:val="213"/>
    <w:qFormat/>
    <w:uiPriority w:val="0"/>
    <w:pPr>
      <w:ind w:left="1049" w:firstLine="0" w:firstLineChars="0"/>
    </w:pPr>
    <w:rPr>
      <w:sz w:val="18"/>
    </w:rPr>
  </w:style>
  <w:style w:type="character" w:customStyle="1" w:styleId="213">
    <w:name w:val="标准文件_示例X后 字符"/>
    <w:link w:val="212"/>
    <w:qFormat/>
    <w:uiPriority w:val="0"/>
    <w:rPr>
      <w:rFonts w:ascii="宋体" w:hAnsi="Times New Roman"/>
      <w:sz w:val="18"/>
    </w:rPr>
  </w:style>
  <w:style w:type="paragraph" w:customStyle="1" w:styleId="214">
    <w:name w:val="标准文件_索引项"/>
    <w:basedOn w:val="69"/>
    <w:next w:val="69"/>
    <w:qFormat/>
    <w:uiPriority w:val="0"/>
    <w:pPr>
      <w:tabs>
        <w:tab w:val="right" w:leader="dot" w:pos="9356"/>
      </w:tabs>
      <w:ind w:left="210" w:hanging="210" w:firstLineChars="0"/>
      <w:jc w:val="left"/>
    </w:pPr>
  </w:style>
  <w:style w:type="paragraph" w:customStyle="1" w:styleId="215">
    <w:name w:val="标准文件_附录一级无标题"/>
    <w:basedOn w:val="91"/>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92"/>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94"/>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95"/>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97"/>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9"/>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9"/>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9"/>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9"/>
    <w:qFormat/>
    <w:uiPriority w:val="0"/>
    <w:pPr>
      <w:spacing w:before="0" w:beforeLines="0" w:after="0" w:afterLines="0" w:line="276" w:lineRule="auto"/>
    </w:pPr>
    <w:rPr>
      <w:rFonts w:ascii="宋体" w:eastAsia="宋体"/>
    </w:rPr>
  </w:style>
  <w:style w:type="paragraph" w:customStyle="1" w:styleId="225">
    <w:name w:val="标准文件_索引标题"/>
    <w:basedOn w:val="77"/>
    <w:next w:val="69"/>
    <w:qFormat/>
    <w:uiPriority w:val="0"/>
    <w:rPr>
      <w:rFonts w:hAnsi="黑体"/>
    </w:rPr>
  </w:style>
  <w:style w:type="paragraph" w:customStyle="1" w:styleId="226">
    <w:name w:val="标准文件_脚注内容"/>
    <w:basedOn w:val="69"/>
    <w:qFormat/>
    <w:uiPriority w:val="0"/>
    <w:pPr>
      <w:ind w:left="400" w:leftChars="200" w:hanging="200" w:hangingChars="200"/>
    </w:pPr>
    <w:rPr>
      <w:sz w:val="15"/>
    </w:rPr>
  </w:style>
  <w:style w:type="paragraph" w:customStyle="1" w:styleId="227">
    <w:name w:val="标准文件_术语条一"/>
    <w:basedOn w:val="169"/>
    <w:next w:val="69"/>
    <w:qFormat/>
    <w:uiPriority w:val="0"/>
  </w:style>
  <w:style w:type="paragraph" w:customStyle="1" w:styleId="228">
    <w:name w:val="标准文件_术语条二"/>
    <w:basedOn w:val="172"/>
    <w:next w:val="69"/>
    <w:qFormat/>
    <w:uiPriority w:val="0"/>
  </w:style>
  <w:style w:type="paragraph" w:customStyle="1" w:styleId="229">
    <w:name w:val="标准文件_术语条三"/>
    <w:basedOn w:val="171"/>
    <w:next w:val="69"/>
    <w:qFormat/>
    <w:uiPriority w:val="0"/>
  </w:style>
  <w:style w:type="paragraph" w:customStyle="1" w:styleId="230">
    <w:name w:val="标准文件_术语条四"/>
    <w:basedOn w:val="174"/>
    <w:next w:val="69"/>
    <w:qFormat/>
    <w:uiPriority w:val="0"/>
  </w:style>
  <w:style w:type="paragraph" w:customStyle="1" w:styleId="231">
    <w:name w:val="标准文件_术语条五"/>
    <w:basedOn w:val="170"/>
    <w:next w:val="69"/>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3">
    <w:name w:val="样式01：正文、定义（首行缩进2字符）"/>
    <w:basedOn w:val="1"/>
    <w:qFormat/>
    <w:uiPriority w:val="99"/>
    <w:pPr>
      <w:spacing w:line="360" w:lineRule="auto"/>
      <w:ind w:firstLine="420" w:firstLineChars="200"/>
    </w:pPr>
  </w:style>
  <w:style w:type="paragraph" w:customStyle="1" w:styleId="234">
    <w:name w:val="一级条标题"/>
    <w:basedOn w:val="235"/>
    <w:next w:val="236"/>
    <w:qFormat/>
    <w:uiPriority w:val="0"/>
    <w:pPr>
      <w:spacing w:beforeLines="0" w:afterLines="0"/>
      <w:outlineLvl w:val="2"/>
    </w:pPr>
  </w:style>
  <w:style w:type="paragraph" w:customStyle="1" w:styleId="235">
    <w:name w:val="章标题"/>
    <w:next w:val="236"/>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36">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styleId="237">
    <w:name w:val="List Paragraph"/>
    <w:basedOn w:val="1"/>
    <w:qFormat/>
    <w:uiPriority w:val="1"/>
    <w:pPr>
      <w:ind w:left="1378" w:hanging="53"/>
    </w:pPr>
    <w:rPr>
      <w:rFonts w:ascii="宋体" w:hAnsi="宋体" w:cs="宋体"/>
    </w:rPr>
  </w:style>
  <w:style w:type="character" w:customStyle="1" w:styleId="238">
    <w:name w:val="标准文件_发布"/>
    <w:qFormat/>
    <w:uiPriority w:val="0"/>
    <w:rPr>
      <w:rFonts w:ascii="黑体" w:eastAsia="黑体"/>
      <w:spacing w:val="0"/>
      <w:w w:val="100"/>
      <w:position w:val="3"/>
      <w:sz w:val="28"/>
    </w:rPr>
  </w:style>
  <w:style w:type="character" w:customStyle="1" w:styleId="239">
    <w:name w:val="不明显参考1"/>
    <w:qFormat/>
    <w:uiPriority w:val="31"/>
    <w:rPr>
      <w:smallCaps/>
      <w:color w:val="C0504D"/>
      <w:u w:val="single"/>
    </w:rPr>
  </w:style>
  <w:style w:type="character" w:customStyle="1" w:styleId="240">
    <w:name w:val="标准文件_图表脚注内容"/>
    <w:qFormat/>
    <w:uiPriority w:val="0"/>
    <w:rPr>
      <w:rFonts w:ascii="宋体" w:hAnsi="宋体" w:eastAsia="宋体" w:cs="Times New Roman"/>
      <w:spacing w:val="0"/>
      <w:sz w:val="18"/>
      <w:vertAlign w:val="superscript"/>
    </w:rPr>
  </w:style>
  <w:style w:type="character" w:customStyle="1" w:styleId="241">
    <w:name w:val="个人答复风格"/>
    <w:qFormat/>
    <w:uiPriority w:val="0"/>
    <w:rPr>
      <w:rFonts w:ascii="Arial" w:hAnsi="Arial" w:eastAsia="宋体" w:cs="Arial"/>
      <w:color w:val="auto"/>
      <w:spacing w:val="0"/>
      <w:sz w:val="20"/>
    </w:rPr>
  </w:style>
  <w:style w:type="character" w:customStyle="1" w:styleId="242">
    <w:name w:val="个人撰写风格"/>
    <w:qFormat/>
    <w:uiPriority w:val="0"/>
    <w:rPr>
      <w:rFonts w:ascii="Arial" w:hAnsi="Arial" w:eastAsia="宋体" w:cs="Arial"/>
      <w:color w:val="auto"/>
      <w:spacing w:val="0"/>
      <w:sz w:val="20"/>
    </w:rPr>
  </w:style>
  <w:style w:type="character" w:styleId="243">
    <w:name w:val="Placeholder Text"/>
    <w:semiHidden/>
    <w:qFormat/>
    <w:uiPriority w:val="99"/>
    <w:rPr>
      <w:color w:val="808080"/>
    </w:rPr>
  </w:style>
  <w:style w:type="character" w:customStyle="1" w:styleId="244">
    <w:name w:val="标准文件_来源"/>
    <w:qFormat/>
    <w:uiPriority w:val="1"/>
    <w:rPr>
      <w:rFonts w:eastAsia="宋体"/>
      <w:sz w:val="21"/>
    </w:rPr>
  </w:style>
  <w:style w:type="character" w:customStyle="1" w:styleId="245">
    <w:name w:val="正文1"/>
    <w:qFormat/>
    <w:uiPriority w:val="99"/>
    <w:rPr>
      <w:rFonts w:hint="eastAsia" w:ascii="宋体" w:hAnsi="宋体" w:eastAsia="宋体"/>
      <w:sz w:val="22"/>
      <w:szCs w:val="22"/>
    </w:rPr>
  </w:style>
  <w:style w:type="character" w:customStyle="1" w:styleId="246">
    <w:name w:val="font141"/>
    <w:qFormat/>
    <w:uiPriority w:val="0"/>
    <w:rPr>
      <w:color w:val="333333"/>
      <w:sz w:val="21"/>
      <w:szCs w:val="21"/>
    </w:rPr>
  </w:style>
  <w:style w:type="paragraph" w:customStyle="1" w:styleId="247">
    <w:name w:val="修订1"/>
    <w:semiHidden/>
    <w:qFormat/>
    <w:uiPriority w:val="99"/>
    <w:rPr>
      <w:rFonts w:ascii="Calibri" w:hAnsi="Calibri" w:eastAsia="宋体" w:cs="Times New Roman"/>
      <w:kern w:val="2"/>
      <w:sz w:val="21"/>
      <w:szCs w:val="21"/>
      <w:lang w:val="en-US" w:eastAsia="zh-CN" w:bidi="ar-SA"/>
    </w:rPr>
  </w:style>
  <w:style w:type="character" w:customStyle="1" w:styleId="248">
    <w:name w:val="font01"/>
    <w:qFormat/>
    <w:uiPriority w:val="0"/>
    <w:rPr>
      <w:rFonts w:hint="eastAsia" w:ascii="宋体" w:hAnsi="宋体" w:eastAsia="宋体" w:cs="宋体"/>
      <w:color w:val="000000"/>
      <w:sz w:val="24"/>
      <w:szCs w:val="24"/>
      <w:u w:val="none"/>
    </w:rPr>
  </w:style>
  <w:style w:type="character" w:customStyle="1" w:styleId="249">
    <w:name w:val="font61"/>
    <w:qFormat/>
    <w:uiPriority w:val="0"/>
    <w:rPr>
      <w:rFonts w:hint="eastAsia" w:ascii="宋体" w:hAnsi="宋体" w:eastAsia="宋体" w:cs="宋体"/>
      <w:b/>
      <w:bCs/>
      <w:color w:val="000000"/>
      <w:sz w:val="24"/>
      <w:szCs w:val="24"/>
      <w:u w:val="none"/>
    </w:rPr>
  </w:style>
  <w:style w:type="character" w:customStyle="1" w:styleId="250">
    <w:name w:val="15"/>
    <w:qFormat/>
    <w:uiPriority w:val="0"/>
    <w:rPr>
      <w:rFonts w:hint="eastAsia" w:ascii="宋体" w:hAnsi="宋体" w:eastAsia="宋体" w:cs="Times New Roman"/>
      <w:sz w:val="22"/>
      <w:szCs w:val="22"/>
    </w:rPr>
  </w:style>
  <w:style w:type="character" w:customStyle="1" w:styleId="251">
    <w:name w:val="font51"/>
    <w:qFormat/>
    <w:uiPriority w:val="0"/>
    <w:rPr>
      <w:rFonts w:hint="eastAsia" w:ascii="宋体" w:hAnsi="宋体" w:eastAsia="宋体" w:cs="宋体"/>
      <w:b/>
      <w:bCs/>
      <w:color w:val="000000"/>
      <w:sz w:val="24"/>
      <w:szCs w:val="24"/>
      <w:u w:val="none"/>
    </w:rPr>
  </w:style>
  <w:style w:type="character" w:customStyle="1" w:styleId="252">
    <w:name w:val="font41"/>
    <w:qFormat/>
    <w:uiPriority w:val="0"/>
    <w:rPr>
      <w:rFonts w:hint="eastAsia" w:ascii="宋体" w:hAnsi="宋体" w:eastAsia="宋体" w:cs="宋体"/>
      <w:color w:val="FF0000"/>
      <w:sz w:val="24"/>
      <w:szCs w:val="24"/>
      <w:u w:val="none"/>
    </w:rPr>
  </w:style>
  <w:style w:type="character" w:customStyle="1" w:styleId="253">
    <w:name w:val="zhenwen141"/>
    <w:qFormat/>
    <w:uiPriority w:val="0"/>
    <w:rPr>
      <w:rFonts w:hint="default" w:ascii="ˎ̥" w:hAnsi="ˎ̥" w:eastAsia="宋体" w:cs="Times New Roman"/>
      <w:sz w:val="21"/>
      <w:szCs w:val="21"/>
    </w:rPr>
  </w:style>
  <w:style w:type="paragraph" w:customStyle="1" w:styleId="254">
    <w:name w:val="字母编号列项（一级）"/>
    <w:qFormat/>
    <w:uiPriority w:val="0"/>
    <w:pPr>
      <w:numPr>
        <w:ilvl w:val="0"/>
        <w:numId w:val="14"/>
      </w:numPr>
      <w:jc w:val="both"/>
    </w:pPr>
    <w:rPr>
      <w:rFonts w:ascii="宋体" w:hAnsi="Times New Roman" w:eastAsia="宋体" w:cs="Times New Roman"/>
      <w:sz w:val="21"/>
      <w:lang w:val="en-US" w:eastAsia="zh-CN" w:bidi="ar-SA"/>
    </w:rPr>
  </w:style>
  <w:style w:type="paragraph" w:customStyle="1" w:styleId="255">
    <w:name w:val="数字编号列项（二级）"/>
    <w:qFormat/>
    <w:uiPriority w:val="0"/>
    <w:pPr>
      <w:tabs>
        <w:tab w:val="left" w:pos="1276"/>
      </w:tabs>
      <w:ind w:left="1276" w:hanging="425"/>
      <w:jc w:val="both"/>
    </w:pPr>
    <w:rPr>
      <w:rFonts w:ascii="宋体" w:hAnsi="Times New Roman" w:eastAsia="宋体" w:cs="Times New Roman"/>
      <w:sz w:val="21"/>
      <w:lang w:val="en-US" w:eastAsia="zh-CN" w:bidi="ar-SA"/>
    </w:rPr>
  </w:style>
  <w:style w:type="paragraph" w:customStyle="1" w:styleId="256">
    <w:name w:val="三级无"/>
    <w:basedOn w:val="257"/>
    <w:qFormat/>
    <w:uiPriority w:val="0"/>
    <w:pPr>
      <w:spacing w:before="0" w:beforeLines="0" w:after="0" w:afterLines="0"/>
    </w:pPr>
    <w:rPr>
      <w:rFonts w:ascii="宋体" w:eastAsia="宋体"/>
    </w:rPr>
  </w:style>
  <w:style w:type="paragraph" w:customStyle="1" w:styleId="257">
    <w:name w:val="三级条标题"/>
    <w:basedOn w:val="258"/>
    <w:next w:val="236"/>
    <w:qFormat/>
    <w:uiPriority w:val="0"/>
    <w:pPr>
      <w:numPr>
        <w:ilvl w:val="3"/>
      </w:numPr>
      <w:outlineLvl w:val="4"/>
    </w:pPr>
  </w:style>
  <w:style w:type="paragraph" w:customStyle="1" w:styleId="258">
    <w:name w:val="二级条标题"/>
    <w:basedOn w:val="234"/>
    <w:next w:val="1"/>
    <w:qFormat/>
    <w:uiPriority w:val="0"/>
    <w:pPr>
      <w:numPr>
        <w:ilvl w:val="2"/>
        <w:numId w:val="33"/>
      </w:numPr>
      <w:spacing w:before="50" w:beforeLines="50" w:after="50" w:afterLines="50"/>
      <w:outlineLvl w:val="3"/>
    </w:pPr>
    <w:rPr>
      <w:szCs w:val="21"/>
    </w:rPr>
  </w:style>
  <w:style w:type="paragraph" w:customStyle="1" w:styleId="259">
    <w:name w:val="Revision"/>
    <w:unhideWhenUsed/>
    <w:qFormat/>
    <w:uiPriority w:val="99"/>
    <w:rPr>
      <w:rFonts w:ascii="Calibri" w:hAnsi="Calibri" w:eastAsia="宋体" w:cs="Times New Roman"/>
      <w:kern w:val="2"/>
      <w:sz w:val="21"/>
      <w:szCs w:val="21"/>
      <w:lang w:val="en-US" w:eastAsia="zh-CN" w:bidi="ar-SA"/>
    </w:rPr>
  </w:style>
  <w:style w:type="paragraph" w:styleId="260">
    <w:name w:val="No Spacing"/>
    <w:basedOn w:val="1"/>
    <w:qFormat/>
    <w:uiPriority w:val="1"/>
    <w:pPr>
      <w:widowControl w:val="0"/>
      <w:kinsoku/>
      <w:autoSpaceDE/>
      <w:autoSpaceDN/>
      <w:adjustRightInd/>
      <w:snapToGrid/>
      <w:spacing w:line="240" w:lineRule="auto"/>
      <w:jc w:val="both"/>
      <w:textAlignment w:val="auto"/>
    </w:pPr>
    <w:rPr>
      <w:rFonts w:ascii="Calibri" w:hAnsi="Calibri" w:eastAsia="宋体" w:cs="Times New Roman"/>
      <w:snapToGrid/>
      <w:kern w:val="2"/>
      <w:sz w:val="22"/>
      <w:szCs w:val="22"/>
      <w:lang w:eastAsia="zh-CN"/>
    </w:rPr>
  </w:style>
  <w:style w:type="paragraph" w:customStyle="1" w:styleId="26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character" w:customStyle="1" w:styleId="262">
    <w:name w:val="正文文本首行缩进 2 字符"/>
    <w:basedOn w:val="41"/>
    <w:qFormat/>
    <w:uiPriority w:val="0"/>
    <w:rPr>
      <w:rFonts w:hint="default" w:ascii="Calibri" w:hAnsi="Calibri" w:cs="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4.jpe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6719;&#20214;&#19979;&#36733;\StandardEditor\template\&#22269;&#23478;&#26631;&#2093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PCMI</Company>
  <Pages>30</Pages>
  <Words>10802</Words>
  <Characters>11553</Characters>
  <Lines>1</Lines>
  <Paragraphs>1</Paragraphs>
  <TotalTime>3.33333333333333</TotalTime>
  <ScaleCrop>false</ScaleCrop>
  <LinksUpToDate>false</LinksUpToDate>
  <CharactersWithSpaces>11871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2024-07-09T08:55:00Z</dcterms:created>
  <dc:creator>任佃忠</dc:creator>
  <dc:description>&lt;config cover="true" show_menu="true" version="1.0.0" doctype="SDKXY"&gt;_x000d_
&lt;/config&gt;</dc:description>
  <cp:lastModifiedBy>似水流年兮</cp:lastModifiedBy>
  <cp:lastPrinted>2024-08-31T19:00:03Z</cp:lastPrinted>
  <dcterms:modified xsi:type="dcterms:W3CDTF">2025-07-03T01:33:03Z</dcterms:modified>
  <dc:title>国家标准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2</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2052-12.1.0.21541</vt:lpwstr>
  </property>
  <property fmtid="{D5CDD505-2E9C-101B-9397-08002B2CF9AE}" pid="15" name="ICV">
    <vt:lpwstr>7D7C86DC4B2F44B7869F141AB48FE448_13</vt:lpwstr>
  </property>
</Properties>
</file>