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640" w:lineRule="exact"/>
        <w:jc w:val="center"/>
        <w:rPr>
          <w:rFonts w:ascii="仿宋_GB2312"/>
        </w:rPr>
      </w:pPr>
      <w:r>
        <w:rPr>
          <w:rFonts w:ascii="仿宋_GB2312"/>
        </w:rPr>
        <w:t xml:space="preserve">   </w:t>
      </w:r>
    </w:p>
    <w:p>
      <w:pPr>
        <w:tabs>
          <w:tab w:val="left" w:pos="1620"/>
        </w:tabs>
        <w:spacing w:line="640" w:lineRule="exact"/>
        <w:jc w:val="center"/>
        <w:rPr>
          <w:rFonts w:ascii="仿宋_GB2312"/>
        </w:rPr>
      </w:pPr>
    </w:p>
    <w:p>
      <w:pPr>
        <w:tabs>
          <w:tab w:val="left" w:pos="1620"/>
        </w:tabs>
        <w:spacing w:line="800" w:lineRule="exact"/>
        <w:jc w:val="center"/>
        <w:rPr>
          <w:rFonts w:hint="eastAsia" w:ascii="仿宋_GB2312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涵民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59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涵江区</w:t>
      </w:r>
      <w:r>
        <w:rPr>
          <w:rFonts w:hint="eastAsia" w:ascii="方正小标宋简体" w:eastAsia="方正小标宋简体"/>
          <w:sz w:val="44"/>
          <w:szCs w:val="44"/>
        </w:rPr>
        <w:t>民政局关于下达20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年养老机构综合</w:t>
      </w:r>
    </w:p>
    <w:p>
      <w:pPr>
        <w:spacing w:line="600" w:lineRule="exact"/>
        <w:jc w:val="center"/>
        <w:rPr>
          <w:rFonts w:hint="eastAsia" w:ascii="方正小标宋简体" w:hAnsi="新宋体" w:eastAsia="方正小标宋简体" w:cs="新宋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责任保险市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区两</w:t>
      </w:r>
      <w:r>
        <w:rPr>
          <w:rFonts w:hint="eastAsia" w:ascii="方正小标宋简体" w:eastAsia="方正小标宋简体"/>
          <w:sz w:val="44"/>
          <w:szCs w:val="44"/>
        </w:rPr>
        <w:t>级补助资金的通知</w:t>
      </w:r>
    </w:p>
    <w:p>
      <w:pPr>
        <w:keepNext w:val="0"/>
        <w:keepLines w:val="0"/>
        <w:pageBreakBefore w:val="0"/>
        <w:widowControl w:val="0"/>
        <w:tabs>
          <w:tab w:val="left" w:pos="3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莆田市涵江区红景家园养老院、莆田市涵江区三江口镇幸福养老院、莆田市涵江区江口幸福养老院</w:t>
      </w:r>
      <w:r>
        <w:rPr>
          <w:rFonts w:hint="eastAsia" w:ascii="仿宋_GB2312" w:hAnsi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有限公司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、莆田市涵江区梧塘镇幸福疗养院、莆田涵江区侨心养护院有限公司、莆田市涵江区尊德安老院、莆田市涵江区爱心养老院有限公司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bookmark4"/>
      <w:bookmarkStart w:id="1" w:name="bookmark5"/>
      <w:bookmarkStart w:id="2" w:name="bookmark3"/>
    </w:p>
    <w:bookmarkEnd w:id="0"/>
    <w:bookmarkEnd w:id="1"/>
    <w:bookmarkEnd w:id="2"/>
    <w:p>
      <w:pPr>
        <w:keepNext w:val="0"/>
        <w:keepLines w:val="0"/>
        <w:pageBreakBefore w:val="0"/>
        <w:widowControl w:val="0"/>
        <w:tabs>
          <w:tab w:val="left" w:pos="730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根据《莆田市民政局 莆田市财政局关于印发&lt;莆田市2021-2023 年度养老机构综合责任保险工作实施方案&gt;的通知》(莆民〔2020〕97号)、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莆田市涵江区民政局 莆田市涵江区财政局关于申请拨付2022年度市级养老机构综合责任保险补助资金的请示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涵民〔2023〕12号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《莆田市民政局 莆田市财政局关于下达 2023年市级养老服务补助资金的通知( 第一批 )》（莆财社〔2023〕105号）文件精神，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我区组织辖区养老机构做好综合责任保险缴纳工作，并对机构上报的材料进行审核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年我区符合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民办养老机构有7家，分别是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莆田市涵江区红景家园养老院、莆田市涵江区三江口镇幸福养老院、莆田市涵江区江口幸福养老院</w:t>
      </w:r>
      <w:r>
        <w:rPr>
          <w:rFonts w:hint="eastAsia" w:ascii="仿宋_GB2312" w:hAnsi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有限公司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、莆田市涵江区梧塘镇幸福疗养院、莆田涵江区侨心养护院有限公司、莆田市涵江区尊德安老院、莆田市涵江区爱心养老院有限公司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30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根据文件中“民办养老机构（含公建民营）保险费用由养老机构承担20%，其余由市、县（区、管委会）按3:7比例分担。”的规定，以上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7家养老机构缴纳的养老机构综合责任保险中符合补助条件的金额为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4.58万元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。根据文件中“民办养老机构（含公建民营）保险费用由养老机构承担20%，其</w:t>
      </w:r>
      <w:r>
        <w:rPr>
          <w:rFonts w:hint="eastAsia" w:ascii="仿宋_GB2312" w:hAnsi="仿宋_GB2312" w:eastAsia="仿宋_GB2312" w:cs="仿宋_GB2312"/>
          <w:sz w:val="32"/>
          <w:szCs w:val="32"/>
        </w:rPr>
        <w:t>余由市、县（区、管委会）按3:7比例分担。”的规定，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现下达涵江区2022年度养老机构综合责任保险市区两级补助资金共</w:t>
      </w: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>4.58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</w:t>
      </w: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>，其中市级补助资金1.37万元，区级配套3.21万元（具体详见附件）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6" w:line="540" w:lineRule="exact"/>
        <w:ind w:firstLine="5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请将补助资金列入2023年政府收支分类科目第2296002项“用于社会福利的彩票公益金支出”、2023年政府预算支出经济分类科目第 51301款“上下级政府间转移性支出”科目。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6" w:line="540" w:lineRule="exact"/>
        <w:ind w:firstLine="5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为进一步加强预算绩效管理，请按照《莆田市本级福利彩票公益金使用管理办法》 (莆民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〔2021〕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47号)等有关规定，加强资金管理，确保专款专用。同时请根据 2023年专项转移支付绩效目标(绩效目标另行下达)和补助资金额度，做好绩效跟踪管理，切实提高财政资金使用效益。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6" w:line="540" w:lineRule="exact"/>
        <w:ind w:firstLine="5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涵江区2022年度养老机构综合责任保险补助资金分配表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仿宋_GB2312"/>
          <w:lang w:val="en-US"/>
        </w:rPr>
      </w:pPr>
      <w:r>
        <w:rPr>
          <w:rFonts w:hint="eastAsia" w:ascii="仿宋_GB2312"/>
          <w:lang w:val="en-US" w:eastAsia="zh-CN"/>
        </w:rPr>
        <w:t xml:space="preserve">                                莆田市涵江区民政局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/>
        </w:rPr>
        <w:t xml:space="preserve">                           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0" w:firstLineChars="20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（此件主动公开）</w:t>
      </w:r>
    </w:p>
    <w:tbl>
      <w:tblPr>
        <w:tblStyle w:val="8"/>
        <w:tblpPr w:leftFromText="180" w:rightFromText="180" w:vertAnchor="text" w:horzAnchor="page" w:tblpX="1725" w:tblpY="9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59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莆田市涵江区民政局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办公室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701" w:right="1417" w:bottom="1644" w:left="1417" w:header="851" w:footer="992" w:gutter="0"/>
          <w:pgNumType w:fmt="numberInDash"/>
          <w:cols w:space="0" w:num="1"/>
          <w:rtlGutter w:val="0"/>
          <w:docGrid w:type="linesAndChars" w:linePitch="579" w:charSpace="-6315"/>
        </w:sectPr>
      </w:pPr>
    </w:p>
    <w:p>
      <w:pPr>
        <w:rPr>
          <w:rFonts w:hint="eastAsia" w:ascii="宋体" w:hAnsi="宋体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涵江区2022年度养老机构综合责任保险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补助资金分配表</w:t>
      </w:r>
    </w:p>
    <w:p>
      <w:pPr>
        <w:ind w:leftChars="100" w:firstLine="630"/>
        <w:jc w:val="right"/>
        <w:rPr>
          <w:rFonts w:hint="default" w:ascii="宋体" w:hAnsi="宋体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vertAlign w:val="baseline"/>
          <w:lang w:val="en-US" w:eastAsia="zh-CN"/>
        </w:rPr>
        <w:t>单位：万元</w:t>
      </w:r>
    </w:p>
    <w:tbl>
      <w:tblPr>
        <w:tblStyle w:val="8"/>
        <w:tblpPr w:leftFromText="180" w:rightFromText="180" w:vertAnchor="text" w:horzAnchor="page" w:tblpXSpec="center" w:tblpY="609"/>
        <w:tblOverlap w:val="never"/>
        <w:tblW w:w="53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779"/>
        <w:gridCol w:w="1558"/>
        <w:gridCol w:w="1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区级配套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1.37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3.21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莆田市涵江区红景家园养老院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莆田市涵江区三江口镇幸福养老院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莆田市涵江区江口幸福养老院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莆田市涵江区梧塘镇幸福疗养院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莆田涵江区侨心养护院有限公司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2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莆田市涵江区尊德安老院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29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莆田市涵江区爱心养老院有限公司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0.33</w:t>
            </w:r>
          </w:p>
        </w:tc>
      </w:tr>
    </w:tbl>
    <w:p>
      <w:pPr>
        <w:ind w:firstLine="630"/>
        <w:rPr>
          <w:rFonts w:hint="eastAsia" w:ascii="宋体" w:hAnsi="宋体" w:eastAsia="仿宋_GB2312" w:cs="仿宋_GB2312"/>
          <w:sz w:val="30"/>
          <w:szCs w:val="30"/>
          <w:vertAlign w:val="baseline"/>
          <w:lang w:val="en-US" w:eastAsia="zh-CN"/>
        </w:rPr>
      </w:pPr>
    </w:p>
    <w:p/>
    <w:sectPr>
      <w:headerReference r:id="rId5" w:type="default"/>
      <w:footerReference r:id="rId6" w:type="default"/>
      <w:pgSz w:w="11906" w:h="16838"/>
      <w:pgMar w:top="1440" w:right="141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zgxODQzNWExY2I2NmE3NWVjNGFlZDYyMTA1MWUifQ=="/>
  </w:docVars>
  <w:rsids>
    <w:rsidRoot w:val="41E34EBB"/>
    <w:rsid w:val="00A02ABE"/>
    <w:rsid w:val="03345607"/>
    <w:rsid w:val="06F22416"/>
    <w:rsid w:val="0B606A58"/>
    <w:rsid w:val="0C5D5254"/>
    <w:rsid w:val="0DDE495F"/>
    <w:rsid w:val="0F00541F"/>
    <w:rsid w:val="12825666"/>
    <w:rsid w:val="136A592F"/>
    <w:rsid w:val="14892DED"/>
    <w:rsid w:val="14D91EF8"/>
    <w:rsid w:val="17ED1F4D"/>
    <w:rsid w:val="1D897616"/>
    <w:rsid w:val="1E8F40C9"/>
    <w:rsid w:val="1EB5002E"/>
    <w:rsid w:val="1FC5244F"/>
    <w:rsid w:val="221238AD"/>
    <w:rsid w:val="221D525B"/>
    <w:rsid w:val="248E603D"/>
    <w:rsid w:val="25CE54D7"/>
    <w:rsid w:val="26B61111"/>
    <w:rsid w:val="26CF01D7"/>
    <w:rsid w:val="29B63761"/>
    <w:rsid w:val="2BE05F64"/>
    <w:rsid w:val="2C3C0EE3"/>
    <w:rsid w:val="2CBC42DB"/>
    <w:rsid w:val="2F1600CE"/>
    <w:rsid w:val="39D23390"/>
    <w:rsid w:val="3AF37C95"/>
    <w:rsid w:val="3B8B084C"/>
    <w:rsid w:val="3BC63DC2"/>
    <w:rsid w:val="41E34EBB"/>
    <w:rsid w:val="460054E7"/>
    <w:rsid w:val="477802A9"/>
    <w:rsid w:val="4A45370A"/>
    <w:rsid w:val="4F2157BD"/>
    <w:rsid w:val="50AD4087"/>
    <w:rsid w:val="51467CF3"/>
    <w:rsid w:val="51E43C02"/>
    <w:rsid w:val="51F03E21"/>
    <w:rsid w:val="575D2551"/>
    <w:rsid w:val="58082FE2"/>
    <w:rsid w:val="58672C27"/>
    <w:rsid w:val="5A61463C"/>
    <w:rsid w:val="5F803F15"/>
    <w:rsid w:val="61B82382"/>
    <w:rsid w:val="63E26E89"/>
    <w:rsid w:val="65CA30A3"/>
    <w:rsid w:val="67A31CD4"/>
    <w:rsid w:val="68AB4C28"/>
    <w:rsid w:val="6AE93210"/>
    <w:rsid w:val="701B08E6"/>
    <w:rsid w:val="7305472C"/>
    <w:rsid w:val="775532F8"/>
    <w:rsid w:val="78D71E2A"/>
    <w:rsid w:val="7B3665D4"/>
    <w:rsid w:val="7E51006F"/>
    <w:rsid w:val="7E883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Body Text Indent 2"/>
    <w:basedOn w:val="1"/>
    <w:next w:val="4"/>
    <w:qFormat/>
    <w:uiPriority w:val="99"/>
    <w:pPr>
      <w:tabs>
        <w:tab w:val="left" w:pos="7020"/>
      </w:tabs>
      <w:spacing w:line="400" w:lineRule="exact"/>
      <w:ind w:firstLine="200" w:firstLineChars="200"/>
    </w:pPr>
    <w:rPr>
      <w:rFonts w:ascii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14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1246</Characters>
  <Lines>0</Lines>
  <Paragraphs>0</Paragraphs>
  <TotalTime>6</TotalTime>
  <ScaleCrop>false</ScaleCrop>
  <LinksUpToDate>false</LinksUpToDate>
  <CharactersWithSpaces>1372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2019-05-08T02:03:00Z</dcterms:created>
  <dc:creator>DELL</dc:creator>
  <cp:lastModifiedBy>撤回了一条消息</cp:lastModifiedBy>
  <cp:lastPrinted>2023-08-23T03:02:05Z</cp:lastPrinted>
  <dcterms:modified xsi:type="dcterms:W3CDTF">2023-08-23T09:48:02Z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166DB9F8DB5E4E58A3845F5B41962158_13</vt:lpwstr>
  </property>
</Properties>
</file>