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spacing w:line="640" w:lineRule="exact"/>
        <w:jc w:val="center"/>
        <w:rPr>
          <w:rFonts w:ascii="仿宋_GB2312"/>
        </w:rPr>
      </w:pPr>
      <w:r>
        <w:rPr>
          <w:rFonts w:ascii="仿宋_GB2312"/>
        </w:rPr>
        <w:t xml:space="preserve">   </w:t>
      </w:r>
    </w:p>
    <w:p>
      <w:pPr>
        <w:tabs>
          <w:tab w:val="left" w:pos="1620"/>
        </w:tabs>
        <w:spacing w:line="640" w:lineRule="exact"/>
        <w:jc w:val="center"/>
        <w:rPr>
          <w:rFonts w:ascii="仿宋_GB2312"/>
        </w:rPr>
      </w:pPr>
    </w:p>
    <w:p>
      <w:pPr>
        <w:tabs>
          <w:tab w:val="left" w:pos="1620"/>
        </w:tabs>
        <w:spacing w:line="800" w:lineRule="exact"/>
        <w:jc w:val="center"/>
        <w:rPr>
          <w:rFonts w:hint="eastAsia" w:ascii="仿宋_GB2312"/>
        </w:rPr>
      </w:pPr>
    </w:p>
    <w:p>
      <w:pPr>
        <w:jc w:val="center"/>
        <w:rPr>
          <w:rFonts w:hint="eastAsia"/>
          <w:b w:val="0"/>
          <w:bCs w:val="0"/>
          <w:sz w:val="32"/>
          <w:szCs w:val="32"/>
          <w:lang w:eastAsia="zh-CN"/>
        </w:rPr>
      </w:pPr>
    </w:p>
    <w:p>
      <w:pPr>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涵民</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b w:val="0"/>
          <w:bCs w:val="0"/>
          <w:sz w:val="32"/>
          <w:szCs w:val="32"/>
          <w:lang w:val="en-US" w:eastAsia="zh-CN"/>
        </w:rPr>
        <w:t>46号</w:t>
      </w:r>
    </w:p>
    <w:p>
      <w:pPr>
        <w:spacing w:line="600" w:lineRule="exact"/>
        <w:jc w:val="both"/>
        <w:rPr>
          <w:rFonts w:hint="eastAsia" w:ascii="方正小标宋简体" w:hAnsi="方正小标宋简体" w:eastAsia="方正小标宋简体" w:cs="方正小标宋简体"/>
          <w:bCs/>
          <w:sz w:val="44"/>
          <w:szCs w:val="44"/>
          <w:lang w:val="en-US" w:eastAsia="zh-CN"/>
        </w:rPr>
      </w:pPr>
      <w:bookmarkStart w:id="3" w:name="_GoBack"/>
    </w:p>
    <w:bookmarkEnd w:id="3"/>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b w:val="0"/>
          <w:bCs w:val="0"/>
          <w:snapToGrid/>
          <w:color w:val="000000"/>
          <w:spacing w:val="-11"/>
          <w:kern w:val="2"/>
          <w:sz w:val="44"/>
          <w:szCs w:val="44"/>
          <w:lang w:val="en-US" w:eastAsia="zh-CN" w:bidi="ar-SA"/>
        </w:rPr>
      </w:pPr>
      <w:r>
        <w:rPr>
          <w:rFonts w:hint="eastAsia" w:ascii="方正小标宋简体" w:hAnsi="方正小标宋简体" w:eastAsia="方正小标宋简体" w:cs="方正小标宋简体"/>
          <w:b w:val="0"/>
          <w:bCs w:val="0"/>
          <w:snapToGrid/>
          <w:color w:val="000000"/>
          <w:spacing w:val="-11"/>
          <w:kern w:val="2"/>
          <w:sz w:val="44"/>
          <w:szCs w:val="44"/>
          <w:lang w:val="en-US" w:eastAsia="zh-CN" w:bidi="ar-SA"/>
        </w:rPr>
        <w:t>莆田市涵江区民政局关于下达2023年涵江区示范性长者食堂省级建设补助资金的通知</w:t>
      </w:r>
    </w:p>
    <w:p>
      <w:pPr>
        <w:spacing w:line="300" w:lineRule="exact"/>
        <w:rPr>
          <w:rFonts w:eastAsia="方正小标宋简体"/>
          <w:b/>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_GB2312"/>
        </w:rPr>
      </w:pPr>
      <w:r>
        <w:rPr>
          <w:rFonts w:hint="eastAsia" w:ascii="仿宋_GB2312"/>
          <w:lang w:val="en-US" w:eastAsia="zh-CN"/>
        </w:rPr>
        <w:t>大洋乡人民政府</w:t>
      </w:r>
      <w:r>
        <w:rPr>
          <w:rFonts w:hint="eastAsia" w:ascii="仿宋_GB231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eastAsia="仿宋_GB2312"/>
          <w:sz w:val="32"/>
          <w:szCs w:val="32"/>
          <w:lang w:val="en-US" w:eastAsia="zh-CN"/>
        </w:rPr>
        <w:t>根据</w:t>
      </w:r>
      <w:bookmarkStart w:id="0" w:name="bookmark3"/>
      <w:bookmarkStart w:id="1" w:name="bookmark4"/>
      <w:bookmarkStart w:id="2" w:name="bookmark5"/>
      <w:r>
        <w:rPr>
          <w:rFonts w:hint="eastAsia" w:ascii="仿宋_GB2312" w:hAnsi="仿宋" w:eastAsia="仿宋_GB2312"/>
          <w:sz w:val="32"/>
          <w:szCs w:val="32"/>
          <w:lang w:val="en-US" w:eastAsia="zh-CN"/>
        </w:rPr>
        <w:t>《福建省民政厅</w:t>
      </w:r>
      <w:r>
        <w:rPr>
          <w:rFonts w:hint="eastAsia" w:ascii="仿宋_GB2312" w:hAnsi="仿宋"/>
          <w:sz w:val="32"/>
          <w:szCs w:val="32"/>
          <w:lang w:val="en-US" w:eastAsia="zh-CN"/>
        </w:rPr>
        <w:t xml:space="preserve"> </w:t>
      </w:r>
      <w:r>
        <w:rPr>
          <w:rFonts w:hint="eastAsia" w:ascii="仿宋_GB2312" w:hAnsi="仿宋" w:eastAsia="仿宋_GB2312"/>
          <w:sz w:val="32"/>
          <w:szCs w:val="32"/>
          <w:lang w:val="en-US" w:eastAsia="zh-CN"/>
        </w:rPr>
        <w:t>福建省发展和改革委员会</w:t>
      </w:r>
      <w:r>
        <w:rPr>
          <w:rFonts w:hint="eastAsia" w:ascii="仿宋_GB2312" w:hAnsi="仿宋"/>
          <w:sz w:val="32"/>
          <w:szCs w:val="32"/>
          <w:lang w:val="en-US" w:eastAsia="zh-CN"/>
        </w:rPr>
        <w:t xml:space="preserve"> </w:t>
      </w:r>
      <w:r>
        <w:rPr>
          <w:rFonts w:hint="eastAsia" w:ascii="仿宋_GB2312" w:hAnsi="仿宋" w:eastAsia="仿宋_GB2312"/>
          <w:sz w:val="32"/>
          <w:szCs w:val="32"/>
          <w:lang w:val="en-US" w:eastAsia="zh-CN"/>
        </w:rPr>
        <w:t>福建省住房和城乡建设厅</w:t>
      </w:r>
      <w:r>
        <w:rPr>
          <w:rFonts w:hint="eastAsia" w:ascii="仿宋_GB2312" w:hAnsi="仿宋"/>
          <w:sz w:val="32"/>
          <w:szCs w:val="32"/>
          <w:lang w:val="en-US" w:eastAsia="zh-CN"/>
        </w:rPr>
        <w:t xml:space="preserve"> </w:t>
      </w:r>
      <w:r>
        <w:rPr>
          <w:rFonts w:hint="eastAsia" w:ascii="仿宋_GB2312" w:hAnsi="仿宋" w:eastAsia="仿宋_GB2312"/>
          <w:sz w:val="32"/>
          <w:szCs w:val="32"/>
          <w:lang w:val="en-US" w:eastAsia="zh-CN"/>
        </w:rPr>
        <w:t>福建省市场监管管理局和福建省消防救援总队关于长者食堂建设运营的通知</w:t>
      </w:r>
      <w:bookmarkEnd w:id="0"/>
      <w:bookmarkEnd w:id="1"/>
      <w:bookmarkEnd w:id="2"/>
      <w:r>
        <w:rPr>
          <w:rFonts w:hint="eastAsia" w:ascii="仿宋_GB2312" w:hAnsi="仿宋" w:eastAsia="仿宋_GB2312"/>
          <w:sz w:val="32"/>
          <w:szCs w:val="32"/>
          <w:lang w:val="en-US" w:eastAsia="zh-CN"/>
        </w:rPr>
        <w:t>》（闽民规〔202</w:t>
      </w:r>
      <w:r>
        <w:rPr>
          <w:rFonts w:hint="eastAsia" w:ascii="仿宋_GB2312" w:hAnsi="仿宋"/>
          <w:sz w:val="32"/>
          <w:szCs w:val="32"/>
          <w:lang w:val="en-US" w:eastAsia="zh-CN"/>
        </w:rPr>
        <w:t>2</w:t>
      </w:r>
      <w:r>
        <w:rPr>
          <w:rFonts w:hint="eastAsia" w:ascii="仿宋_GB2312" w:hAnsi="仿宋" w:eastAsia="仿宋_GB2312"/>
          <w:sz w:val="32"/>
          <w:szCs w:val="32"/>
          <w:lang w:val="en-US" w:eastAsia="zh-CN"/>
        </w:rPr>
        <w:t>〕5号）</w:t>
      </w:r>
      <w:r>
        <w:rPr>
          <w:rFonts w:hint="eastAsia" w:ascii="仿宋_GB2312" w:eastAsia="仿宋_GB2312"/>
          <w:sz w:val="32"/>
          <w:szCs w:val="32"/>
          <w:lang w:val="en-US" w:eastAsia="zh-CN"/>
        </w:rPr>
        <w:t>、</w:t>
      </w:r>
      <w:r>
        <w:rPr>
          <w:rFonts w:hint="eastAsia" w:ascii="仿宋_GB2312" w:eastAsia="仿宋_GB2312"/>
          <w:sz w:val="32"/>
          <w:szCs w:val="32"/>
          <w:lang w:eastAsia="zh-CN"/>
        </w:rPr>
        <w:t>《莆田市民政局 莆田市财政局关于下达2023年第二批民政事业类省级补助专项经费的通知》（莆财社〔2023〕70号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文件精神，以及大洋乡提交的项目资金补助申报表。经研究，现下达</w:t>
      </w:r>
      <w:r>
        <w:rPr>
          <w:rFonts w:hint="eastAsia" w:ascii="仿宋_GB2312" w:eastAsia="仿宋_GB2312" w:cs="仿宋_GB2312"/>
          <w:sz w:val="32"/>
          <w:szCs w:val="32"/>
        </w:rPr>
        <w:t>2023年涵江区示范性长者食堂省级建设补助资金</w:t>
      </w:r>
      <w:r>
        <w:rPr>
          <w:rFonts w:hint="eastAsia" w:ascii="仿宋_GB2312" w:eastAsia="仿宋_GB2312" w:cs="仿宋_GB2312"/>
          <w:sz w:val="32"/>
          <w:szCs w:val="32"/>
          <w:lang w:val="en-US" w:eastAsia="zh-CN"/>
        </w:rPr>
        <w:t>15万元</w:t>
      </w:r>
      <w:r>
        <w:rPr>
          <w:rFonts w:hint="eastAsia" w:ascii="仿宋_GB2312" w:hAnsi="Times New Roman" w:eastAsia="仿宋_GB2312" w:cs="Times New Roman"/>
          <w:sz w:val="32"/>
          <w:szCs w:val="32"/>
          <w:lang w:val="en-US" w:eastAsia="zh-CN"/>
        </w:rPr>
        <w:t>，用于建设大洋乡崇兴村长者食堂。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sz w:val="32"/>
          <w:szCs w:val="32"/>
          <w:lang w:val="en-US" w:eastAsia="zh-CN"/>
        </w:rPr>
      </w:pPr>
      <w:r>
        <w:rPr>
          <w:rFonts w:hint="eastAsia" w:ascii="仿宋_GB2312"/>
          <w:sz w:val="32"/>
          <w:szCs w:val="32"/>
          <w:lang w:val="en-US" w:eastAsia="zh-CN"/>
        </w:rPr>
        <w:t>以上资金收入请列入2023年一般公共预算收支科目第1100308项“社会保障和就业”科目，支出列入第2081006 项“养老服务”科目。为进一步提高资金使用效益，请按照《福建省民政厅 福建省财政厅关于印发&lt;社会福利事业发展专项资金管理办法&gt;的通知》(闽民规</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sz w:val="32"/>
          <w:szCs w:val="32"/>
          <w:lang w:val="en-US" w:eastAsia="zh-CN"/>
        </w:rPr>
        <w:t>16号)、《福建省财政厅 福建省民政厅关于印发&lt;福建省支持社会组织参与民政服务专项资金管理办法&gt;的通知》(闽财社</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仿宋_GB2312"/>
          <w:sz w:val="32"/>
          <w:szCs w:val="32"/>
          <w:lang w:val="en-US" w:eastAsia="zh-CN"/>
        </w:rPr>
        <w:t>36号)、闽财社</w:t>
      </w:r>
      <w:r>
        <w:rPr>
          <w:rFonts w:hint="eastAsia" w:ascii="仿宋_GB2312" w:hAnsi="仿宋_GB2312" w:eastAsia="仿宋_GB2312" w:cs="仿宋_GB2312"/>
          <w:sz w:val="32"/>
          <w:szCs w:val="32"/>
          <w:lang w:val="en-US" w:eastAsia="zh-CN"/>
        </w:rPr>
        <w:t>〔20</w:t>
      </w:r>
      <w:r>
        <w:rPr>
          <w:rFonts w:hint="eastAsia" w:ascii="仿宋_GB2312" w:hAnsi="仿宋_GB2312" w:cs="仿宋_GB2312"/>
          <w:sz w:val="32"/>
          <w:szCs w:val="32"/>
          <w:lang w:val="en-US" w:eastAsia="zh-CN"/>
        </w:rPr>
        <w:t>19</w:t>
      </w:r>
      <w:r>
        <w:rPr>
          <w:rFonts w:hint="eastAsia" w:ascii="仿宋_GB2312" w:hAnsi="仿宋_GB2312" w:eastAsia="仿宋_GB2312" w:cs="仿宋_GB2312"/>
          <w:sz w:val="32"/>
          <w:szCs w:val="32"/>
          <w:lang w:val="en-US" w:eastAsia="zh-CN"/>
        </w:rPr>
        <w:t>〕</w:t>
      </w:r>
      <w:r>
        <w:rPr>
          <w:rFonts w:hint="eastAsia" w:ascii="仿宋_GB2312"/>
          <w:sz w:val="32"/>
          <w:szCs w:val="32"/>
          <w:lang w:val="en-US" w:eastAsia="zh-CN"/>
        </w:rPr>
        <w:t>5号有关规定，加强资金管理，确保专款专用。</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1600" w:leftChars="200" w:hanging="960" w:hangingChars="300"/>
        <w:textAlignment w:val="auto"/>
        <w:rPr>
          <w:rFonts w:hint="default" w:ascii="仿宋_GB2312" w:hAnsi="仿宋_GB2312" w:eastAsia="仿宋_GB2312" w:cs="仿宋_GB2312"/>
          <w:sz w:val="32"/>
          <w:szCs w:val="32"/>
          <w:lang w:val="en-US"/>
        </w:rPr>
      </w:pPr>
      <w:r>
        <w:rPr>
          <w:rFonts w:hint="eastAsia" w:ascii="仿宋_GB2312"/>
          <w:sz w:val="32"/>
          <w:szCs w:val="32"/>
          <w:lang w:eastAsia="zh-CN"/>
        </w:rPr>
        <w:t>附件</w:t>
      </w:r>
      <w:r>
        <w:rPr>
          <w:rFonts w:hint="eastAsia" w:ascii="仿宋_GB2312"/>
          <w:sz w:val="32"/>
          <w:szCs w:val="32"/>
          <w:lang w:val="en-US" w:eastAsia="zh-CN"/>
        </w:rPr>
        <w:t>：</w:t>
      </w:r>
      <w:r>
        <w:rPr>
          <w:rFonts w:hint="eastAsia" w:ascii="仿宋_GB2312" w:eastAsia="仿宋_GB2312" w:cs="仿宋_GB2312"/>
          <w:sz w:val="32"/>
          <w:szCs w:val="32"/>
        </w:rPr>
        <w:t>2023年涵江区示范性长者食堂省级建设补助资金</w:t>
      </w:r>
      <w:r>
        <w:rPr>
          <w:rFonts w:hint="eastAsia" w:ascii="仿宋_GB2312" w:hAnsi="Times New Roman" w:eastAsia="仿宋_GB2312" w:cs="Times New Roman"/>
          <w:sz w:val="32"/>
          <w:szCs w:val="32"/>
          <w:lang w:val="en-US" w:eastAsia="zh-CN"/>
        </w:rPr>
        <w:t>分配表</w:t>
      </w:r>
    </w:p>
    <w:p>
      <w:pPr>
        <w:keepNext w:val="0"/>
        <w:keepLines w:val="0"/>
        <w:pageBreakBefore w:val="0"/>
        <w:widowControl w:val="0"/>
        <w:kinsoku/>
        <w:wordWrap/>
        <w:overflowPunct/>
        <w:topLinePunct w:val="0"/>
        <w:autoSpaceDE/>
        <w:autoSpaceDN/>
        <w:bidi w:val="0"/>
        <w:adjustRightInd/>
        <w:snapToGrid/>
        <w:spacing w:line="560" w:lineRule="exact"/>
        <w:ind w:left="1600" w:leftChars="200" w:right="0" w:rightChars="0" w:hanging="960" w:hangingChars="300"/>
        <w:jc w:val="left"/>
        <w:textAlignment w:val="auto"/>
        <w:outlineLvl w:val="9"/>
        <w:rPr>
          <w:rFonts w:hint="eastAsia" w:ascii="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Chars="1600" w:right="0" w:rightChars="0"/>
        <w:jc w:val="center"/>
        <w:textAlignment w:val="auto"/>
        <w:outlineLvl w:val="9"/>
        <w:rPr>
          <w:rFonts w:hint="eastAsia" w:ascii="仿宋_GB2312"/>
        </w:rPr>
      </w:pPr>
      <w:r>
        <w:rPr>
          <w:rFonts w:hint="eastAsia" w:ascii="仿宋_GB2312"/>
          <w:lang w:eastAsia="zh-CN"/>
        </w:rPr>
        <w:t>莆田市涵江</w:t>
      </w:r>
      <w:r>
        <w:rPr>
          <w:rFonts w:hint="eastAsia" w:ascii="仿宋_GB2312"/>
          <w:lang w:val="en-US" w:eastAsia="zh-CN"/>
        </w:rPr>
        <w:t>区民政局</w:t>
      </w:r>
    </w:p>
    <w:p>
      <w:pPr>
        <w:keepNext w:val="0"/>
        <w:keepLines w:val="0"/>
        <w:pageBreakBefore w:val="0"/>
        <w:widowControl w:val="0"/>
        <w:kinsoku/>
        <w:wordWrap/>
        <w:overflowPunct/>
        <w:topLinePunct w:val="0"/>
        <w:autoSpaceDE/>
        <w:autoSpaceDN/>
        <w:bidi w:val="0"/>
        <w:adjustRightInd/>
        <w:snapToGrid/>
        <w:spacing w:line="560" w:lineRule="exact"/>
        <w:ind w:left="5120" w:leftChars="1600" w:right="0" w:rightChars="0"/>
        <w:jc w:val="center"/>
        <w:textAlignment w:val="auto"/>
        <w:outlineLvl w:val="9"/>
        <w:rPr>
          <w:rFonts w:hint="eastAsia" w:ascii="仿宋_GB2312"/>
        </w:rPr>
      </w:pPr>
      <w:r>
        <w:rPr>
          <w:rFonts w:hint="eastAsia" w:ascii="仿宋_GB2312"/>
          <w:lang w:val="en-US" w:eastAsia="zh-CN"/>
        </w:rPr>
        <w:t>2023</w:t>
      </w:r>
      <w:r>
        <w:rPr>
          <w:rFonts w:hint="eastAsia" w:ascii="仿宋_GB2312"/>
        </w:rPr>
        <w:t>年</w:t>
      </w:r>
      <w:r>
        <w:rPr>
          <w:rFonts w:hint="eastAsia" w:ascii="仿宋_GB2312"/>
          <w:lang w:val="en-US" w:eastAsia="zh-CN"/>
        </w:rPr>
        <w:t>6</w:t>
      </w:r>
      <w:r>
        <w:rPr>
          <w:rFonts w:hint="eastAsia" w:ascii="仿宋_GB2312"/>
        </w:rPr>
        <w:t>月</w:t>
      </w:r>
      <w:r>
        <w:rPr>
          <w:rFonts w:hint="eastAsia" w:ascii="仿宋_GB2312"/>
          <w:lang w:val="en-US" w:eastAsia="zh-CN"/>
        </w:rPr>
        <w:t>5</w:t>
      </w:r>
      <w:r>
        <w:rPr>
          <w:rFonts w:hint="eastAsia" w:ascii="仿宋_GB2312"/>
        </w:rPr>
        <w:t>日</w:t>
      </w:r>
    </w:p>
    <w:p>
      <w:pPr>
        <w:bidi w:val="0"/>
        <w:rPr>
          <w:rFonts w:hint="eastAsia"/>
          <w:lang w:val="en-US" w:eastAsia="zh-CN"/>
        </w:rPr>
      </w:pPr>
    </w:p>
    <w:p>
      <w:pPr>
        <w:pStyle w:val="2"/>
        <w:rPr>
          <w:rFonts w:hint="eastAsia"/>
          <w:lang w:val="en-US" w:eastAsia="zh-CN"/>
        </w:rPr>
      </w:pPr>
    </w:p>
    <w:p>
      <w:pPr>
        <w:pStyle w:val="2"/>
        <w:ind w:firstLine="31680"/>
        <w:rPr>
          <w:rFonts w:hAnsi="仿宋_GB2312" w:cs="仿宋_GB2312"/>
        </w:rPr>
      </w:pPr>
      <w:r>
        <w:rPr>
          <w:rFonts w:hint="eastAsia" w:hAnsi="仿宋_GB2312" w:cs="仿宋_GB2312"/>
        </w:rPr>
        <w:t>（此件主动公开）</w:t>
      </w:r>
    </w:p>
    <w:p>
      <w:pPr>
        <w:bidi w:val="0"/>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tbl>
      <w:tblPr>
        <w:tblStyle w:val="6"/>
        <w:tblpPr w:leftFromText="180" w:rightFromText="180" w:vertAnchor="text" w:horzAnchor="page" w:tblpX="1517" w:tblpY="530"/>
        <w:tblOverlap w:val="never"/>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860" w:type="dxa"/>
            <w:tcBorders>
              <w:left w:val="nil"/>
              <w:right w:val="nil"/>
            </w:tcBorders>
          </w:tcPr>
          <w:p>
            <w:pPr>
              <w:rPr>
                <w:rFonts w:ascii="仿宋_GB2312" w:cs="仿宋_GB2312"/>
                <w:bCs/>
                <w:sz w:val="28"/>
                <w:szCs w:val="28"/>
              </w:rPr>
            </w:pPr>
            <w:r>
              <w:rPr>
                <w:rFonts w:ascii="仿宋_GB2312" w:hAnsi="仿宋_GB2312" w:cs="仿宋_GB2312"/>
                <w:bCs/>
                <w:sz w:val="28"/>
                <w:szCs w:val="28"/>
              </w:rPr>
              <w:t xml:space="preserve">  </w:t>
            </w:r>
            <w:r>
              <w:rPr>
                <w:rFonts w:ascii="仿宋_GB2312" w:hAnsi="仿宋_GB2312" w:cs="仿宋_GB2312"/>
                <w:bCs/>
                <w:sz w:val="32"/>
                <w:szCs w:val="32"/>
              </w:rPr>
              <w:t xml:space="preserve"> </w:t>
            </w:r>
            <w:r>
              <w:rPr>
                <w:rFonts w:hint="eastAsia" w:ascii="仿宋_GB2312" w:hAnsi="仿宋_GB2312" w:cs="仿宋_GB2312"/>
                <w:sz w:val="32"/>
                <w:szCs w:val="32"/>
              </w:rPr>
              <w:t>莆田市涵江区民政局办公室</w:t>
            </w:r>
            <w:r>
              <w:rPr>
                <w:rFonts w:ascii="仿宋_GB2312" w:hAnsi="仿宋_GB2312" w:cs="仿宋_GB2312"/>
                <w:sz w:val="32"/>
                <w:szCs w:val="32"/>
              </w:rPr>
              <w:t xml:space="preserve">    </w:t>
            </w:r>
            <w:r>
              <w:rPr>
                <w:rFonts w:ascii="仿宋_GB2312" w:hAnsi="仿宋_GB2312" w:cs="仿宋_GB2312"/>
                <w:bCs/>
                <w:sz w:val="32"/>
                <w:szCs w:val="32"/>
              </w:rPr>
              <w:t xml:space="preserve">     </w:t>
            </w:r>
            <w:r>
              <w:rPr>
                <w:rFonts w:hint="eastAsia" w:ascii="仿宋_GB2312"/>
                <w:sz w:val="32"/>
                <w:szCs w:val="32"/>
                <w:lang w:val="en-US" w:eastAsia="zh-CN"/>
              </w:rPr>
              <w:t>2023</w:t>
            </w:r>
            <w:r>
              <w:rPr>
                <w:rFonts w:hint="eastAsia" w:ascii="仿宋_GB2312"/>
                <w:sz w:val="32"/>
                <w:szCs w:val="32"/>
              </w:rPr>
              <w:t>年</w:t>
            </w:r>
            <w:r>
              <w:rPr>
                <w:rFonts w:hint="eastAsia" w:ascii="仿宋_GB2312"/>
                <w:sz w:val="32"/>
                <w:szCs w:val="32"/>
                <w:lang w:val="en-US" w:eastAsia="zh-CN"/>
              </w:rPr>
              <w:t>6</w:t>
            </w:r>
            <w:r>
              <w:rPr>
                <w:rFonts w:hint="eastAsia" w:ascii="仿宋_GB2312"/>
                <w:sz w:val="32"/>
                <w:szCs w:val="32"/>
              </w:rPr>
              <w:t>月</w:t>
            </w:r>
            <w:r>
              <w:rPr>
                <w:rFonts w:hint="eastAsia" w:ascii="仿宋_GB2312"/>
                <w:sz w:val="32"/>
                <w:szCs w:val="32"/>
                <w:lang w:val="en-US" w:eastAsia="zh-CN"/>
              </w:rPr>
              <w:t>5</w:t>
            </w:r>
            <w:r>
              <w:rPr>
                <w:rFonts w:hint="eastAsia" w:ascii="仿宋_GB2312"/>
                <w:sz w:val="32"/>
                <w:szCs w:val="32"/>
              </w:rPr>
              <w:t>日</w:t>
            </w:r>
            <w:r>
              <w:rPr>
                <w:rFonts w:hint="eastAsia" w:ascii="仿宋_GB2312" w:hAnsi="仿宋_GB2312" w:cs="仿宋_GB2312"/>
                <w:sz w:val="32"/>
                <w:szCs w:val="32"/>
              </w:rPr>
              <w:t>印发</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sz w:val="32"/>
          <w:szCs w:val="32"/>
          <w:lang w:val="en-US" w:eastAsia="zh-CN"/>
        </w:rPr>
      </w:pPr>
      <w:r>
        <w:rPr>
          <w:rFonts w:hint="eastAsia" w:ascii="仿宋_GB2312"/>
          <w:sz w:val="32"/>
          <w:szCs w:val="32"/>
          <w:lang w:val="en-US" w:eastAsia="zh-CN"/>
        </w:rPr>
        <w:t>附件</w:t>
      </w:r>
    </w:p>
    <w:p>
      <w:pPr>
        <w:pStyle w:val="2"/>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60" w:lineRule="exact"/>
        <w:ind w:firstLine="0"/>
        <w:jc w:val="center"/>
        <w:textAlignment w:val="auto"/>
        <w:rPr>
          <w:rFonts w:hint="eastAsia" w:ascii="仿宋_GB2312" w:eastAsia="仿宋_GB2312" w:cs="仿宋_GB2312"/>
          <w:sz w:val="44"/>
          <w:szCs w:val="44"/>
        </w:rPr>
      </w:pPr>
      <w:r>
        <w:rPr>
          <w:rFonts w:hint="eastAsia" w:ascii="仿宋_GB2312" w:eastAsia="仿宋_GB2312" w:cs="仿宋_GB2312"/>
          <w:sz w:val="44"/>
          <w:szCs w:val="44"/>
        </w:rPr>
        <w:t>2023年涵江区示范性长者食堂省级</w:t>
      </w:r>
    </w:p>
    <w:p>
      <w:pPr>
        <w:keepNext w:val="0"/>
        <w:keepLines w:val="0"/>
        <w:pageBreakBefore w:val="0"/>
        <w:widowControl w:val="0"/>
        <w:kinsoku/>
        <w:wordWrap/>
        <w:overflowPunct/>
        <w:topLinePunct w:val="0"/>
        <w:autoSpaceDE/>
        <w:autoSpaceDN/>
        <w:bidi w:val="0"/>
        <w:adjustRightInd/>
        <w:snapToGrid/>
        <w:spacing w:line="660" w:lineRule="exact"/>
        <w:ind w:firstLine="0"/>
        <w:jc w:val="center"/>
        <w:textAlignment w:val="auto"/>
        <w:rPr>
          <w:rFonts w:hint="eastAsia" w:ascii="仿宋_GB2312" w:hAnsi="Times New Roman" w:eastAsia="仿宋_GB2312" w:cs="Times New Roman"/>
          <w:sz w:val="44"/>
          <w:szCs w:val="44"/>
          <w:lang w:val="en-US" w:eastAsia="zh-CN"/>
        </w:rPr>
      </w:pPr>
      <w:r>
        <w:rPr>
          <w:rFonts w:hint="eastAsia" w:ascii="仿宋_GB2312" w:eastAsia="仿宋_GB2312" w:cs="仿宋_GB2312"/>
          <w:sz w:val="44"/>
          <w:szCs w:val="44"/>
        </w:rPr>
        <w:t>建设补助资金</w:t>
      </w:r>
      <w:r>
        <w:rPr>
          <w:rFonts w:hint="eastAsia" w:ascii="仿宋_GB2312" w:hAnsi="Times New Roman" w:eastAsia="仿宋_GB2312" w:cs="Times New Roman"/>
          <w:sz w:val="44"/>
          <w:szCs w:val="44"/>
          <w:lang w:val="en-US" w:eastAsia="zh-CN"/>
        </w:rPr>
        <w:t>分配表</w:t>
      </w:r>
    </w:p>
    <w:p>
      <w:pPr>
        <w:pStyle w:val="2"/>
        <w:rPr>
          <w:rFonts w:hint="default"/>
          <w:lang w:val="en-US"/>
        </w:rPr>
      </w:pPr>
    </w:p>
    <w:p>
      <w:pPr>
        <w:spacing w:line="520" w:lineRule="exact"/>
        <w:jc w:val="right"/>
        <w:rPr>
          <w:rFonts w:hint="default" w:ascii="仿宋_GB2312" w:hAnsi="黑体" w:eastAsia="仿宋_GB2312" w:cs="黑体"/>
          <w:spacing w:val="-20"/>
          <w:sz w:val="30"/>
          <w:szCs w:val="30"/>
          <w:lang w:val="en-US" w:eastAsia="zh-CN"/>
        </w:rPr>
      </w:pPr>
      <w:r>
        <w:rPr>
          <w:rFonts w:hint="eastAsia" w:ascii="仿宋_GB2312" w:hAnsi="黑体" w:eastAsia="仿宋_GB2312" w:cs="黑体"/>
          <w:spacing w:val="-20"/>
          <w:sz w:val="30"/>
          <w:szCs w:val="30"/>
          <w:lang w:val="en-US" w:eastAsia="zh-CN"/>
        </w:rPr>
        <w:t>单位：万元</w:t>
      </w:r>
    </w:p>
    <w:tbl>
      <w:tblPr>
        <w:tblStyle w:val="7"/>
        <w:tblpPr w:leftFromText="180" w:rightFromText="180" w:vertAnchor="text" w:horzAnchor="page" w:tblpX="1868" w:tblpY="246"/>
        <w:tblOverlap w:val="never"/>
        <w:tblW w:w="8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360"/>
        <w:gridCol w:w="3568"/>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85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序号</w:t>
            </w:r>
          </w:p>
        </w:tc>
        <w:tc>
          <w:tcPr>
            <w:tcW w:w="1360" w:type="dxa"/>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乡镇</w:t>
            </w:r>
          </w:p>
        </w:tc>
        <w:tc>
          <w:tcPr>
            <w:tcW w:w="356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项目名称</w:t>
            </w:r>
          </w:p>
        </w:tc>
        <w:tc>
          <w:tcPr>
            <w:tcW w:w="2587"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补助资金（省级）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8" w:type="dxa"/>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1</w:t>
            </w:r>
          </w:p>
        </w:tc>
        <w:tc>
          <w:tcPr>
            <w:tcW w:w="1360" w:type="dxa"/>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大洋乡</w:t>
            </w:r>
          </w:p>
        </w:tc>
        <w:tc>
          <w:tcPr>
            <w:tcW w:w="3568" w:type="dxa"/>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大洋乡崇兴村长者食堂</w:t>
            </w:r>
          </w:p>
        </w:tc>
        <w:tc>
          <w:tcPr>
            <w:tcW w:w="2587" w:type="dxa"/>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5786" w:type="dxa"/>
            <w:gridSpan w:val="3"/>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合计</w:t>
            </w:r>
          </w:p>
        </w:tc>
        <w:tc>
          <w:tcPr>
            <w:tcW w:w="2587" w:type="dxa"/>
            <w:noWrap w:val="0"/>
            <w:vAlign w:val="center"/>
          </w:tcPr>
          <w:p>
            <w:pPr>
              <w:keepNext w:val="0"/>
              <w:keepLines w:val="0"/>
              <w:widowControl/>
              <w:suppressLineNumbers w:val="0"/>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15</w:t>
            </w:r>
          </w:p>
        </w:tc>
      </w:tr>
    </w:tbl>
    <w:p>
      <w:pPr>
        <w:bidi w:val="0"/>
        <w:rPr>
          <w:rFonts w:hint="eastAsia"/>
          <w:lang w:val="en-US" w:eastAsia="zh-CN"/>
        </w:rPr>
      </w:pPr>
    </w:p>
    <w:p>
      <w:pPr>
        <w:bidi w:val="0"/>
        <w:rPr>
          <w:rFonts w:hint="eastAsia"/>
          <w:lang w:val="en-US" w:eastAsia="zh-CN"/>
        </w:rPr>
      </w:pPr>
    </w:p>
    <w:sectPr>
      <w:headerReference r:id="rId3" w:type="default"/>
      <w:footerReference r:id="rId4" w:type="default"/>
      <w:pgSz w:w="11906" w:h="16838"/>
      <w:pgMar w:top="1440" w:right="141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2ZDQyZjRiNmYxZmY2NTVhMGY5MDIxMjg4OTIxODcifQ=="/>
  </w:docVars>
  <w:rsids>
    <w:rsidRoot w:val="41E34EBB"/>
    <w:rsid w:val="00A02ABE"/>
    <w:rsid w:val="03345607"/>
    <w:rsid w:val="06F22416"/>
    <w:rsid w:val="0B606A58"/>
    <w:rsid w:val="0C5D5254"/>
    <w:rsid w:val="0DDE495F"/>
    <w:rsid w:val="0F00541F"/>
    <w:rsid w:val="12825666"/>
    <w:rsid w:val="136A592F"/>
    <w:rsid w:val="138F0B1F"/>
    <w:rsid w:val="14892DED"/>
    <w:rsid w:val="14D91EF8"/>
    <w:rsid w:val="17ED1F4D"/>
    <w:rsid w:val="1D117ED2"/>
    <w:rsid w:val="1D897616"/>
    <w:rsid w:val="1E8F40C9"/>
    <w:rsid w:val="1EB5002E"/>
    <w:rsid w:val="1FC5244F"/>
    <w:rsid w:val="221238AD"/>
    <w:rsid w:val="221D525B"/>
    <w:rsid w:val="248E603D"/>
    <w:rsid w:val="25CE54D7"/>
    <w:rsid w:val="26B61111"/>
    <w:rsid w:val="26CF01D7"/>
    <w:rsid w:val="29043F9A"/>
    <w:rsid w:val="29B63761"/>
    <w:rsid w:val="2BE05F64"/>
    <w:rsid w:val="2C8F50F4"/>
    <w:rsid w:val="2CBC42DB"/>
    <w:rsid w:val="2F1600CE"/>
    <w:rsid w:val="30521F93"/>
    <w:rsid w:val="30872AC8"/>
    <w:rsid w:val="39D23390"/>
    <w:rsid w:val="3AF37C95"/>
    <w:rsid w:val="3B8B084C"/>
    <w:rsid w:val="3BC63DC2"/>
    <w:rsid w:val="41E34EBB"/>
    <w:rsid w:val="460054E7"/>
    <w:rsid w:val="477802A9"/>
    <w:rsid w:val="4A45370A"/>
    <w:rsid w:val="4F2157BD"/>
    <w:rsid w:val="50AD4087"/>
    <w:rsid w:val="51467CF3"/>
    <w:rsid w:val="51E43C02"/>
    <w:rsid w:val="51F03E21"/>
    <w:rsid w:val="58082FE2"/>
    <w:rsid w:val="58672C27"/>
    <w:rsid w:val="5A61463C"/>
    <w:rsid w:val="5BD91F04"/>
    <w:rsid w:val="61B82382"/>
    <w:rsid w:val="63E26E89"/>
    <w:rsid w:val="65CA30A3"/>
    <w:rsid w:val="67A31CD4"/>
    <w:rsid w:val="68AB4C28"/>
    <w:rsid w:val="701B08E6"/>
    <w:rsid w:val="729F135A"/>
    <w:rsid w:val="7305472C"/>
    <w:rsid w:val="731D482B"/>
    <w:rsid w:val="775532F8"/>
    <w:rsid w:val="78D71E2A"/>
    <w:rsid w:val="795766F4"/>
    <w:rsid w:val="7B3665D4"/>
    <w:rsid w:val="7E51006F"/>
    <w:rsid w:val="7E8835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99"/>
    <w:pPr>
      <w:tabs>
        <w:tab w:val="left" w:pos="7020"/>
      </w:tabs>
      <w:spacing w:line="400" w:lineRule="exact"/>
      <w:ind w:firstLine="200" w:firstLineChars="200"/>
    </w:pPr>
    <w:rPr>
      <w:rFonts w:ascii="仿宋_GB2312"/>
    </w:rPr>
  </w:style>
  <w:style w:type="paragraph" w:styleId="3">
    <w:name w:val="index 6"/>
    <w:basedOn w:val="1"/>
    <w:next w:val="1"/>
    <w:qFormat/>
    <w:uiPriority w:val="99"/>
    <w:pPr>
      <w:ind w:left="21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580</Words>
  <Characters>641</Characters>
  <Lines>0</Lines>
  <Paragraphs>0</Paragraphs>
  <TotalTime>2</TotalTime>
  <ScaleCrop>false</ScaleCrop>
  <LinksUpToDate>false</LinksUpToDate>
  <CharactersWithSpaces>663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2019-05-08T02:03:00Z</dcterms:created>
  <dc:creator>DELL</dc:creator>
  <cp:lastModifiedBy>colorful_</cp:lastModifiedBy>
  <cp:lastPrinted>2022-08-09T00:46:00Z</cp:lastPrinted>
  <dcterms:modified xsi:type="dcterms:W3CDTF">2023-06-07T02:08:47Z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A35B1FD66DD548FE9128A341A1B29759</vt:lpwstr>
  </property>
</Properties>
</file>